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DF7BC" w14:textId="01990783" w:rsidR="00A8058E" w:rsidRPr="00CE0424" w:rsidRDefault="00A8058E" w:rsidP="00A8058E">
      <w:pPr>
        <w:pStyle w:val="3GPPHeader"/>
        <w:spacing w:after="60"/>
        <w:rPr>
          <w:sz w:val="32"/>
          <w:szCs w:val="32"/>
          <w:highlight w:val="yellow"/>
        </w:rPr>
      </w:pPr>
      <w:r w:rsidRPr="00CE0424">
        <w:t>3GPP TSG-RAN WG</w:t>
      </w:r>
      <w:r>
        <w:t>2</w:t>
      </w:r>
      <w:r w:rsidRPr="00CE0424">
        <w:t xml:space="preserve"> #</w:t>
      </w:r>
      <w:r>
        <w:t>100</w:t>
      </w:r>
      <w:r w:rsidRPr="00CE0424">
        <w:tab/>
      </w:r>
      <w:r w:rsidRPr="00CE0424">
        <w:rPr>
          <w:sz w:val="32"/>
          <w:szCs w:val="32"/>
        </w:rPr>
        <w:t>Tdoc R2-1</w:t>
      </w:r>
      <w:r>
        <w:rPr>
          <w:sz w:val="32"/>
          <w:szCs w:val="32"/>
        </w:rPr>
        <w:t>7</w:t>
      </w:r>
      <w:r w:rsidR="006047DA">
        <w:rPr>
          <w:sz w:val="32"/>
          <w:szCs w:val="32"/>
        </w:rPr>
        <w:t>13466</w:t>
      </w:r>
    </w:p>
    <w:p w14:paraId="6315A6C2" w14:textId="1B39752F" w:rsidR="00A8058E" w:rsidRPr="00CE0424" w:rsidRDefault="00A8058E" w:rsidP="00A8058E">
      <w:pPr>
        <w:pStyle w:val="3GPPHeader"/>
      </w:pPr>
      <w:r w:rsidRPr="005D58AB">
        <w:t xml:space="preserve">Reno, </w:t>
      </w:r>
      <w:r w:rsidR="007C2D28">
        <w:t>US</w:t>
      </w:r>
      <w:r>
        <w:t>, 2</w:t>
      </w:r>
      <w:r w:rsidR="007C2D28">
        <w:t>7</w:t>
      </w:r>
      <w:r w:rsidRPr="004E432D">
        <w:rPr>
          <w:vertAlign w:val="superscript"/>
        </w:rPr>
        <w:t>th</w:t>
      </w:r>
      <w:r>
        <w:t xml:space="preserve"> </w:t>
      </w:r>
      <w:r w:rsidR="00E31F54">
        <w:t xml:space="preserve">November </w:t>
      </w:r>
      <w:r w:rsidRPr="00631CA0">
        <w:t xml:space="preserve">– </w:t>
      </w:r>
      <w:r w:rsidR="007C2D28">
        <w:t>1</w:t>
      </w:r>
      <w:r w:rsidR="007C2D28" w:rsidRPr="007C2D28">
        <w:rPr>
          <w:vertAlign w:val="superscript"/>
        </w:rPr>
        <w:t>st</w:t>
      </w:r>
      <w:r w:rsidR="007C2D28">
        <w:t xml:space="preserve"> Dec</w:t>
      </w:r>
      <w:r>
        <w:t xml:space="preserve"> </w:t>
      </w:r>
      <w:r w:rsidRPr="00631CA0">
        <w:t>2017</w:t>
      </w:r>
      <w:r>
        <w:tab/>
      </w:r>
      <w:r w:rsidR="007C2D28">
        <w:t>Revision of</w:t>
      </w:r>
      <w:r w:rsidRPr="0034011B">
        <w:t xml:space="preserve"> R2-1711169</w:t>
      </w:r>
    </w:p>
    <w:p w14:paraId="1407EC10" w14:textId="77777777" w:rsidR="00E90E49" w:rsidRPr="00CE0424" w:rsidRDefault="00E90E49" w:rsidP="00357380">
      <w:pPr>
        <w:pStyle w:val="3GPPHeader"/>
      </w:pPr>
    </w:p>
    <w:p w14:paraId="0EF7EA45" w14:textId="47563AB5" w:rsidR="00E90E49" w:rsidRPr="00C11466" w:rsidRDefault="00E90E49" w:rsidP="00311702">
      <w:pPr>
        <w:pStyle w:val="3GPPHeader"/>
        <w:rPr>
          <w:sz w:val="22"/>
          <w:szCs w:val="22"/>
          <w:lang w:val="en-US"/>
        </w:rPr>
      </w:pPr>
      <w:r w:rsidRPr="00C11466">
        <w:rPr>
          <w:sz w:val="22"/>
          <w:szCs w:val="22"/>
          <w:lang w:val="en-US"/>
        </w:rPr>
        <w:t>Agenda Item:</w:t>
      </w:r>
      <w:r w:rsidRPr="00C11466">
        <w:rPr>
          <w:sz w:val="22"/>
          <w:szCs w:val="22"/>
          <w:lang w:val="en-US"/>
        </w:rPr>
        <w:tab/>
      </w:r>
      <w:r w:rsidR="00607731" w:rsidRPr="00C11466">
        <w:rPr>
          <w:sz w:val="22"/>
          <w:szCs w:val="22"/>
          <w:lang w:val="en-US"/>
        </w:rPr>
        <w:t>10.3.1.</w:t>
      </w:r>
      <w:r w:rsidR="00E31F54">
        <w:rPr>
          <w:sz w:val="22"/>
          <w:szCs w:val="22"/>
          <w:lang w:val="en-US"/>
        </w:rPr>
        <w:t>10</w:t>
      </w:r>
    </w:p>
    <w:p w14:paraId="57E325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01C775D" w14:textId="5679E4B1" w:rsidR="00E90E49" w:rsidRPr="00CE0424" w:rsidRDefault="003D3C45" w:rsidP="00311702">
      <w:pPr>
        <w:pStyle w:val="3GPPHeader"/>
        <w:rPr>
          <w:sz w:val="22"/>
          <w:szCs w:val="22"/>
        </w:rPr>
      </w:pPr>
      <w:r>
        <w:rPr>
          <w:sz w:val="22"/>
          <w:szCs w:val="22"/>
        </w:rPr>
        <w:t>Title:</w:t>
      </w:r>
      <w:r w:rsidR="00E90E49" w:rsidRPr="00CE0424">
        <w:rPr>
          <w:sz w:val="22"/>
          <w:szCs w:val="22"/>
        </w:rPr>
        <w:tab/>
      </w:r>
      <w:r w:rsidR="00DC43AA">
        <w:rPr>
          <w:sz w:val="22"/>
          <w:szCs w:val="22"/>
        </w:rPr>
        <w:t>Modelling of PDCCH Monitoring</w:t>
      </w:r>
      <w:r w:rsidR="00607731">
        <w:rPr>
          <w:sz w:val="22"/>
          <w:szCs w:val="22"/>
        </w:rPr>
        <w:t xml:space="preserve"> </w:t>
      </w:r>
      <w:r w:rsidR="006B26E1">
        <w:rPr>
          <w:sz w:val="22"/>
          <w:szCs w:val="22"/>
        </w:rPr>
        <w:t>C</w:t>
      </w:r>
      <w:r w:rsidR="00607731">
        <w:rPr>
          <w:sz w:val="22"/>
          <w:szCs w:val="22"/>
        </w:rPr>
        <w:t xml:space="preserve">onsidering </w:t>
      </w:r>
      <w:r w:rsidR="006B26E1">
        <w:rPr>
          <w:sz w:val="22"/>
          <w:szCs w:val="22"/>
        </w:rPr>
        <w:t>D</w:t>
      </w:r>
      <w:r w:rsidR="00607731">
        <w:rPr>
          <w:sz w:val="22"/>
          <w:szCs w:val="22"/>
        </w:rPr>
        <w:t xml:space="preserve">uplex </w:t>
      </w:r>
      <w:r w:rsidR="006B26E1">
        <w:rPr>
          <w:sz w:val="22"/>
          <w:szCs w:val="22"/>
        </w:rPr>
        <w:t>M</w:t>
      </w:r>
      <w:r w:rsidR="00607731">
        <w:rPr>
          <w:sz w:val="22"/>
          <w:szCs w:val="22"/>
        </w:rPr>
        <w:t>odes</w:t>
      </w:r>
    </w:p>
    <w:p w14:paraId="1F1BEED3" w14:textId="77A0E75B" w:rsidR="00E90E49" w:rsidRDefault="00E90E49" w:rsidP="00D546FF">
      <w:pPr>
        <w:pStyle w:val="3GPPHeader"/>
        <w:rPr>
          <w:sz w:val="22"/>
          <w:szCs w:val="22"/>
        </w:rPr>
      </w:pPr>
      <w:r w:rsidRPr="00A57C03">
        <w:rPr>
          <w:sz w:val="22"/>
          <w:szCs w:val="22"/>
        </w:rPr>
        <w:t>Document for:</w:t>
      </w:r>
      <w:r w:rsidRPr="00A57C03">
        <w:rPr>
          <w:sz w:val="22"/>
          <w:szCs w:val="22"/>
        </w:rPr>
        <w:tab/>
        <w:t>Discussion, Decision</w:t>
      </w:r>
    </w:p>
    <w:p w14:paraId="72D888CA" w14:textId="77777777" w:rsidR="00C11466" w:rsidRDefault="00C11466" w:rsidP="00D546FF">
      <w:pPr>
        <w:pStyle w:val="3GPPHeader"/>
        <w:rPr>
          <w:sz w:val="22"/>
          <w:szCs w:val="22"/>
        </w:rPr>
      </w:pPr>
    </w:p>
    <w:p w14:paraId="77DB0EEC" w14:textId="77777777" w:rsidR="00C24345" w:rsidRDefault="00E90E49" w:rsidP="00A2052C">
      <w:pPr>
        <w:pStyle w:val="Heading1"/>
      </w:pPr>
      <w:r w:rsidRPr="00CE0424">
        <w:t>Introduction</w:t>
      </w:r>
    </w:p>
    <w:p w14:paraId="29D85DE9" w14:textId="6432551C" w:rsidR="00A2052C" w:rsidRDefault="00621686" w:rsidP="00A2052C">
      <w:r>
        <w:t>In RAN1, it was agreed that flexible TDD, TDD operation with semi-static UL-DL configuration</w:t>
      </w:r>
      <w:r w:rsidR="0082473C">
        <w:t>,</w:t>
      </w:r>
      <w:r>
        <w:t xml:space="preserve"> and FDD are to be supported</w:t>
      </w:r>
      <w:r w:rsidR="00D13172">
        <w:t xml:space="preserve"> in NR</w:t>
      </w:r>
      <w:r>
        <w:t xml:space="preserve">. The details are still being discussed. Some agreements from RAN1-AdHoc#3, 2017 </w:t>
      </w:r>
      <w:r w:rsidR="00FB76B4">
        <w:fldChar w:fldCharType="begin"/>
      </w:r>
      <w:r w:rsidR="00FB76B4">
        <w:instrText xml:space="preserve"> REF _Ref494282766 \r \h </w:instrText>
      </w:r>
      <w:r w:rsidR="00FB76B4">
        <w:fldChar w:fldCharType="separate"/>
      </w:r>
      <w:r w:rsidR="00FB76B4">
        <w:t>[1]</w:t>
      </w:r>
      <w:r w:rsidR="00FB76B4">
        <w:fldChar w:fldCharType="end"/>
      </w:r>
      <w:r w:rsidR="00FB76B4">
        <w:t xml:space="preserve"> </w:t>
      </w:r>
      <w:r>
        <w:t>are presented below for reference:</w:t>
      </w:r>
    </w:p>
    <w:p w14:paraId="28CB189F" w14:textId="77777777" w:rsidR="00621686" w:rsidRDefault="00621686" w:rsidP="00621686">
      <w:pPr>
        <w:rPr>
          <w:rFonts w:ascii="Calibri" w:hAnsi="Calibri"/>
          <w:lang w:val="en-US" w:eastAsia="en-US"/>
        </w:rPr>
      </w:pPr>
      <w:r>
        <w:rPr>
          <w:highlight w:val="green"/>
        </w:rPr>
        <w:t>Agreements:</w:t>
      </w:r>
    </w:p>
    <w:p w14:paraId="127C5FE9" w14:textId="77777777" w:rsidR="00621686" w:rsidRDefault="00621686" w:rsidP="00621686">
      <w:pPr>
        <w:numPr>
          <w:ilvl w:val="0"/>
          <w:numId w:val="16"/>
        </w:numPr>
        <w:overflowPunct/>
        <w:autoSpaceDE/>
        <w:autoSpaceDN/>
        <w:adjustRightInd/>
        <w:spacing w:after="0"/>
        <w:jc w:val="left"/>
        <w:textAlignment w:val="auto"/>
      </w:pPr>
      <w:r>
        <w:t xml:space="preserve">Confirm the following WA </w:t>
      </w:r>
    </w:p>
    <w:p w14:paraId="48782072" w14:textId="77777777" w:rsidR="00621686" w:rsidRDefault="00621686" w:rsidP="00621686">
      <w:pPr>
        <w:numPr>
          <w:ilvl w:val="1"/>
          <w:numId w:val="16"/>
        </w:numPr>
        <w:overflowPunct/>
        <w:autoSpaceDE/>
        <w:autoSpaceDN/>
        <w:adjustRightInd/>
        <w:spacing w:after="0"/>
        <w:jc w:val="left"/>
        <w:textAlignment w:val="auto"/>
      </w:pPr>
      <w:r>
        <w:t>‘Unknown’ resource is ‘flexible’ and can be overridden by at least by DCI indication; ‘Unknown’ is used to achieve the (FFS: exactly/approximately) the same as ‘Reserved’ if not overridden.</w:t>
      </w:r>
    </w:p>
    <w:p w14:paraId="43819519" w14:textId="77777777" w:rsidR="00621686" w:rsidRDefault="00621686" w:rsidP="00621686">
      <w:pPr>
        <w:numPr>
          <w:ilvl w:val="2"/>
          <w:numId w:val="16"/>
        </w:numPr>
        <w:overflowPunct/>
        <w:autoSpaceDE/>
        <w:autoSpaceDN/>
        <w:adjustRightInd/>
        <w:spacing w:after="0"/>
        <w:jc w:val="left"/>
        <w:textAlignment w:val="auto"/>
      </w:pPr>
      <w:r>
        <w:t>‘Unknown’ is signalled at least by SFI in a group-common PDCCH</w:t>
      </w:r>
    </w:p>
    <w:p w14:paraId="5D41B832" w14:textId="77777777" w:rsidR="00621686" w:rsidRDefault="00621686" w:rsidP="00621686">
      <w:pPr>
        <w:numPr>
          <w:ilvl w:val="2"/>
          <w:numId w:val="16"/>
        </w:numPr>
        <w:overflowPunct/>
        <w:autoSpaceDE/>
        <w:autoSpaceDN/>
        <w:adjustRightInd/>
        <w:spacing w:after="0"/>
        <w:jc w:val="left"/>
        <w:textAlignment w:val="auto"/>
      </w:pPr>
      <w:r>
        <w:t>FFS: Possibility of overridden by some types of RRC (e.g., measurement configuration)</w:t>
      </w:r>
    </w:p>
    <w:p w14:paraId="3D444762" w14:textId="77777777" w:rsidR="00621686" w:rsidRDefault="00621686" w:rsidP="00621686">
      <w:pPr>
        <w:numPr>
          <w:ilvl w:val="1"/>
          <w:numId w:val="16"/>
        </w:numPr>
        <w:overflowPunct/>
        <w:autoSpaceDE/>
        <w:autoSpaceDN/>
        <w:adjustRightInd/>
        <w:spacing w:after="0"/>
        <w:jc w:val="left"/>
        <w:textAlignment w:val="auto"/>
      </w:pPr>
      <w:r>
        <w:t>‘Reserved’ resource is ‘not transmit’ and ‘not receive’ but cannot be overridden by DCI/SFI indication.</w:t>
      </w:r>
    </w:p>
    <w:p w14:paraId="7F733FAF" w14:textId="77777777" w:rsidR="00621686" w:rsidRDefault="00621686" w:rsidP="00621686">
      <w:pPr>
        <w:numPr>
          <w:ilvl w:val="2"/>
          <w:numId w:val="16"/>
        </w:numPr>
        <w:overflowPunct/>
        <w:autoSpaceDE/>
        <w:autoSpaceDN/>
        <w:adjustRightInd/>
        <w:spacing w:after="0"/>
        <w:jc w:val="left"/>
        <w:textAlignment w:val="auto"/>
      </w:pPr>
      <w:r>
        <w:t>‘Reserved’ is signalled at least by RRC</w:t>
      </w:r>
    </w:p>
    <w:p w14:paraId="035F088D" w14:textId="77777777" w:rsidR="00621686" w:rsidRDefault="00621686" w:rsidP="00621686">
      <w:pPr>
        <w:numPr>
          <w:ilvl w:val="1"/>
          <w:numId w:val="16"/>
        </w:numPr>
        <w:overflowPunct/>
        <w:autoSpaceDE/>
        <w:autoSpaceDN/>
        <w:adjustRightInd/>
        <w:spacing w:after="0"/>
        <w:jc w:val="left"/>
        <w:textAlignment w:val="auto"/>
      </w:pPr>
      <w:r>
        <w:t>FFS: handling of ‘gap’</w:t>
      </w:r>
    </w:p>
    <w:p w14:paraId="6FD7B2F5" w14:textId="77777777" w:rsidR="00621686" w:rsidRDefault="00621686" w:rsidP="00621686">
      <w:pPr>
        <w:numPr>
          <w:ilvl w:val="1"/>
          <w:numId w:val="16"/>
        </w:numPr>
        <w:overflowPunct/>
        <w:autoSpaceDE/>
        <w:autoSpaceDN/>
        <w:adjustRightInd/>
        <w:spacing w:after="0"/>
        <w:jc w:val="left"/>
        <w:textAlignment w:val="auto"/>
      </w:pPr>
      <w:r>
        <w:t>For semi-static DL/UL transmission direction, ‘Unknown’ can be informed as part of the semi-static configuration.</w:t>
      </w:r>
    </w:p>
    <w:p w14:paraId="355316A2" w14:textId="77777777" w:rsidR="00621686" w:rsidRDefault="00621686" w:rsidP="00621686">
      <w:pPr>
        <w:rPr>
          <w:lang w:val="en-US"/>
        </w:rPr>
      </w:pPr>
      <w:r>
        <w:rPr>
          <w:highlight w:val="green"/>
        </w:rPr>
        <w:t>Agreements</w:t>
      </w:r>
      <w:r>
        <w:t>:</w:t>
      </w:r>
    </w:p>
    <w:p w14:paraId="4F9808BC" w14:textId="77777777" w:rsidR="00621686" w:rsidRDefault="00621686" w:rsidP="00621686">
      <w:pPr>
        <w:numPr>
          <w:ilvl w:val="0"/>
          <w:numId w:val="17"/>
        </w:numPr>
        <w:overflowPunct/>
        <w:autoSpaceDE/>
        <w:autoSpaceDN/>
        <w:adjustRightInd/>
        <w:spacing w:after="0"/>
        <w:jc w:val="left"/>
        <w:textAlignment w:val="auto"/>
      </w:pPr>
      <w:r>
        <w:t xml:space="preserve">For semi-static DL/UL assignment </w:t>
      </w:r>
    </w:p>
    <w:p w14:paraId="169403DE" w14:textId="77777777" w:rsidR="00621686" w:rsidRDefault="00621686" w:rsidP="00621686">
      <w:pPr>
        <w:numPr>
          <w:ilvl w:val="1"/>
          <w:numId w:val="17"/>
        </w:numPr>
        <w:overflowPunct/>
        <w:autoSpaceDE/>
        <w:autoSpaceDN/>
        <w:adjustRightInd/>
        <w:spacing w:after="0"/>
        <w:jc w:val="left"/>
        <w:textAlignment w:val="auto"/>
      </w:pPr>
      <w:r>
        <w:t>Cell-specific RRC configuration (SIB) + additionally UE-specific RRC configuration</w:t>
      </w:r>
    </w:p>
    <w:p w14:paraId="476520E2" w14:textId="77777777" w:rsidR="00621686" w:rsidRDefault="00621686" w:rsidP="00621686">
      <w:pPr>
        <w:numPr>
          <w:ilvl w:val="2"/>
          <w:numId w:val="17"/>
        </w:numPr>
        <w:overflowPunct/>
        <w:autoSpaceDE/>
        <w:autoSpaceDN/>
        <w:adjustRightInd/>
        <w:spacing w:after="0"/>
        <w:jc w:val="left"/>
        <w:textAlignment w:val="auto"/>
      </w:pPr>
      <w:r>
        <w:t>UE-specific RRC configuration only overwrites the “unknown” state of the cell-specific RRC configuration</w:t>
      </w:r>
    </w:p>
    <w:p w14:paraId="5AF97444" w14:textId="77777777" w:rsidR="00621686" w:rsidRDefault="00621686" w:rsidP="00A2052C"/>
    <w:p w14:paraId="4EA36E5E" w14:textId="240944A6" w:rsidR="00621686" w:rsidRPr="00A2052C" w:rsidRDefault="00621686" w:rsidP="00A2052C">
      <w:r>
        <w:t xml:space="preserve">For MAC, the PDCCH monitoring behaviour has relevance to </w:t>
      </w:r>
      <w:r w:rsidR="00B5500F">
        <w:t xml:space="preserve">scheduling behaviour </w:t>
      </w:r>
      <w:r w:rsidR="008B659F">
        <w:t>and UE power consumption</w:t>
      </w:r>
      <w:r>
        <w:t>. This paper investigates the PDCCH monitoring with duplexing mode taken into considered.</w:t>
      </w:r>
    </w:p>
    <w:p w14:paraId="6C9775F4" w14:textId="77777777" w:rsidR="004000E8" w:rsidRPr="00CE0424" w:rsidRDefault="004000E8" w:rsidP="00CE0424">
      <w:pPr>
        <w:pStyle w:val="Heading1"/>
      </w:pPr>
      <w:bookmarkStart w:id="0" w:name="_Ref178064866"/>
      <w:r w:rsidRPr="00CE0424">
        <w:t>Discussion</w:t>
      </w:r>
      <w:bookmarkEnd w:id="0"/>
    </w:p>
    <w:p w14:paraId="44DE1029" w14:textId="23B7CE22" w:rsidR="00B432A3" w:rsidRDefault="001122BD" w:rsidP="00CE0424">
      <w:pPr>
        <w:pStyle w:val="BodyText"/>
      </w:pPr>
      <w:r>
        <w:t xml:space="preserve">For a connected UE, </w:t>
      </w:r>
      <w:r w:rsidR="00B432A3">
        <w:t>the PDCCH monitoring behaviour shall be explicitly defined so that the network knows when to send PDCCH to the U</w:t>
      </w:r>
      <w:r w:rsidR="0033543A">
        <w:t>E</w:t>
      </w:r>
      <w:r w:rsidR="00B432A3">
        <w:t xml:space="preserve"> for UL/DL scheduling and the connected UE knows when to monitor PDCCH. </w:t>
      </w:r>
      <w:r w:rsidR="00EA47B3">
        <w:t>PDCCH is designed to carry</w:t>
      </w:r>
      <w:r w:rsidR="00362576">
        <w:t xml:space="preserve"> scheduling commands and some other physical layer commands such as TPC and PDCCH orders. In one aspect, PDCCH monitoring is important for </w:t>
      </w:r>
      <w:r w:rsidR="003002AB">
        <w:t>providing good service</w:t>
      </w:r>
      <w:r w:rsidR="00EA47B3">
        <w:t xml:space="preserve">, i.e. enable </w:t>
      </w:r>
      <w:r w:rsidR="003002AB">
        <w:t xml:space="preserve">efficient </w:t>
      </w:r>
      <w:r w:rsidR="00EA47B3">
        <w:t>UL-DL data transmission</w:t>
      </w:r>
      <w:r w:rsidR="00362576">
        <w:t>. However, PDCCH monitoring also consumes power in the UE. Therefore, it is valuable to explicit</w:t>
      </w:r>
      <w:r w:rsidR="00EA47B3">
        <w:t>ly</w:t>
      </w:r>
      <w:r w:rsidR="00362576">
        <w:t xml:space="preserve"> define the PDCCH monitoring behaviour in MAC layers considering both </w:t>
      </w:r>
      <w:r w:rsidR="003002AB">
        <w:t xml:space="preserve">good service </w:t>
      </w:r>
      <w:r w:rsidR="00362576">
        <w:t xml:space="preserve"> and UE power consumption.</w:t>
      </w:r>
    </w:p>
    <w:p w14:paraId="5BC3C5A1" w14:textId="034D99BA" w:rsidR="00AA6200" w:rsidRDefault="00EA47B3" w:rsidP="00AA6200">
      <w:pPr>
        <w:pStyle w:val="BodyText"/>
        <w:jc w:val="center"/>
      </w:pPr>
      <w:r>
        <w:rPr>
          <w:noProof/>
          <w:lang w:val="en-US"/>
        </w:rPr>
        <w:lastRenderedPageBreak/>
        <w:drawing>
          <wp:inline distT="0" distB="0" distL="0" distR="0" wp14:anchorId="668E7576" wp14:editId="1EAD0A9F">
            <wp:extent cx="5367635" cy="483108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82980" cy="4844891"/>
                    </a:xfrm>
                    <a:prstGeom prst="rect">
                      <a:avLst/>
                    </a:prstGeom>
                    <a:noFill/>
                  </pic:spPr>
                </pic:pic>
              </a:graphicData>
            </a:graphic>
          </wp:inline>
        </w:drawing>
      </w:r>
    </w:p>
    <w:p w14:paraId="008198F8" w14:textId="4E229E8F" w:rsidR="00AA6200" w:rsidRDefault="00AA6200" w:rsidP="00AA6200">
      <w:pPr>
        <w:pStyle w:val="Caption"/>
      </w:pPr>
      <w:bookmarkStart w:id="1" w:name="_Ref494270966"/>
      <w:r>
        <w:t xml:space="preserve">Figure </w:t>
      </w:r>
      <w:r>
        <w:fldChar w:fldCharType="begin"/>
      </w:r>
      <w:r>
        <w:instrText xml:space="preserve"> SEQ Figure \* ARABIC </w:instrText>
      </w:r>
      <w:r>
        <w:fldChar w:fldCharType="separate"/>
      </w:r>
      <w:r w:rsidR="00E5172A">
        <w:rPr>
          <w:noProof/>
        </w:rPr>
        <w:t>1</w:t>
      </w:r>
      <w:r>
        <w:fldChar w:fldCharType="end"/>
      </w:r>
      <w:bookmarkEnd w:id="1"/>
      <w:r w:rsidR="00A57C03">
        <w:t xml:space="preserve"> – </w:t>
      </w:r>
      <w:r w:rsidR="007E52B3">
        <w:t>5</w:t>
      </w:r>
      <w:r>
        <w:t xml:space="preserve"> factors to be considered in PDCCH monitoring</w:t>
      </w:r>
    </w:p>
    <w:p w14:paraId="7959C0AA" w14:textId="1864B6AB" w:rsidR="00F54874" w:rsidRDefault="00F54874" w:rsidP="00F54874">
      <w:pPr>
        <w:pStyle w:val="BodyText"/>
      </w:pPr>
      <w:r>
        <w:t xml:space="preserve">A number of </w:t>
      </w:r>
      <w:r w:rsidR="00FE1C42">
        <w:t xml:space="preserve">the </w:t>
      </w:r>
      <w:r>
        <w:t xml:space="preserve">factors below could be considered in determining the PDCCH monitoring behaviour. </w:t>
      </w:r>
      <w:r>
        <w:fldChar w:fldCharType="begin"/>
      </w:r>
      <w:r>
        <w:instrText xml:space="preserve"> REF _Ref494270966 \h </w:instrText>
      </w:r>
      <w:r>
        <w:fldChar w:fldCharType="separate"/>
      </w:r>
      <w:r>
        <w:t xml:space="preserve">Figure </w:t>
      </w:r>
      <w:r>
        <w:rPr>
          <w:noProof/>
        </w:rPr>
        <w:t>1</w:t>
      </w:r>
      <w:r>
        <w:fldChar w:fldCharType="end"/>
      </w:r>
      <w:r>
        <w:t xml:space="preserve"> </w:t>
      </w:r>
      <w:r w:rsidR="00FE1C42">
        <w:t>above</w:t>
      </w:r>
      <w:r>
        <w:t xml:space="preserve"> shows the cases for discussing PDCCH monitoring by referring to the UE behaviour in LTE.</w:t>
      </w:r>
    </w:p>
    <w:p w14:paraId="15AAC350" w14:textId="3E1DA115" w:rsidR="00745AC2" w:rsidRDefault="00745AC2" w:rsidP="00745AC2">
      <w:pPr>
        <w:pStyle w:val="BodyText"/>
        <w:numPr>
          <w:ilvl w:val="0"/>
          <w:numId w:val="20"/>
        </w:numPr>
      </w:pPr>
      <w:r>
        <w:t>Duplexing mode</w:t>
      </w:r>
    </w:p>
    <w:p w14:paraId="11B986A9" w14:textId="50093A8C" w:rsidR="008B6448" w:rsidRDefault="008B6448" w:rsidP="003A7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 xml:space="preserve">a, </w:t>
      </w:r>
      <w:r w:rsidR="003A7200">
        <w:t>t</w:t>
      </w:r>
      <w:r w:rsidR="00711ADE">
        <w:t xml:space="preserve">ypical </w:t>
      </w:r>
      <w:r w:rsidR="003A7200">
        <w:t>FDD duplexing mode is illustrated: carrier f_x is a DL carrier and carrier f_y is an</w:t>
      </w:r>
      <w:bookmarkStart w:id="2" w:name="_GoBack"/>
      <w:bookmarkEnd w:id="2"/>
      <w:r w:rsidR="003A7200">
        <w:t xml:space="preserve"> UL carrier. A UE only monitors PDCCH in configured CORESETs in DL carrier.</w:t>
      </w:r>
    </w:p>
    <w:p w14:paraId="6383E8B7" w14:textId="6AC074AB" w:rsidR="003A7200" w:rsidRDefault="003A7200" w:rsidP="003A7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b, a carrier f_z with flexible TDD duplexing is illustrated. If CORESET is configured in f_z for a UE, the UE monitors CORESETs configured in flexible slot</w:t>
      </w:r>
      <w:r w:rsidR="00EE522C">
        <w:t>s</w:t>
      </w:r>
      <w:r>
        <w:t>. However, if a flexible slot is scheduled for UL transmission, the UE does not monitor the PDCCH in the slot.</w:t>
      </w:r>
    </w:p>
    <w:p w14:paraId="393D5C6A" w14:textId="7448A6F3" w:rsidR="00AA6200" w:rsidRDefault="00AA6200" w:rsidP="003A7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c,</w:t>
      </w:r>
      <w:r w:rsidR="004D30E7">
        <w:t xml:space="preserve"> an example of semi-static UL-</w:t>
      </w:r>
      <w:r>
        <w:t>DL configuration is illustrated. A U</w:t>
      </w:r>
      <w:r w:rsidR="007E52B3">
        <w:t>E</w:t>
      </w:r>
      <w:r>
        <w:t xml:space="preserve"> can determine the uplink slots in which no PDCCH will be transmitted, so that the UE does not monitor the PDCCH according to CORESET</w:t>
      </w:r>
      <w:r w:rsidR="004D30E7">
        <w:t xml:space="preserve"> configured</w:t>
      </w:r>
      <w:r>
        <w:t xml:space="preserve"> in these slots</w:t>
      </w:r>
      <w:r w:rsidR="003002AB">
        <w:t>, however, avoiding CORESET in uplink slots can also be handled by network configuration</w:t>
      </w:r>
      <w:r>
        <w:t>.</w:t>
      </w:r>
    </w:p>
    <w:p w14:paraId="5313A3EF" w14:textId="5E23B039" w:rsidR="00745AC2" w:rsidRDefault="00745AC2" w:rsidP="00745AC2">
      <w:pPr>
        <w:pStyle w:val="BodyText"/>
        <w:numPr>
          <w:ilvl w:val="0"/>
          <w:numId w:val="20"/>
        </w:numPr>
      </w:pPr>
      <w:r>
        <w:t>DRX operation</w:t>
      </w:r>
    </w:p>
    <w:p w14:paraId="1A2C5E84" w14:textId="1F87FE3F" w:rsidR="003A7200" w:rsidRDefault="00AA6200" w:rsidP="00AA6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rsidR="002A4F04">
        <w:t xml:space="preserve">d, </w:t>
      </w:r>
      <w:r w:rsidR="00362576">
        <w:t>a</w:t>
      </w:r>
      <w:r w:rsidR="002A4F04">
        <w:t xml:space="preserve"> brief DRX operation mode is illustrated. A UE shall monitor the PDCCH during on-duration and </w:t>
      </w:r>
      <w:r w:rsidR="00362576">
        <w:t>active slots determined by inactivity timer and/or retransmission timers. In other slots, the UE can go to sleep without monitoring PDCCH for power saving.</w:t>
      </w:r>
    </w:p>
    <w:p w14:paraId="3384F9CB" w14:textId="0C1C09CF" w:rsidR="00745AC2" w:rsidRDefault="00745AC2" w:rsidP="00745AC2">
      <w:pPr>
        <w:pStyle w:val="BodyText"/>
        <w:numPr>
          <w:ilvl w:val="0"/>
          <w:numId w:val="20"/>
        </w:numPr>
      </w:pPr>
      <w:r>
        <w:t>Measurement gap</w:t>
      </w:r>
    </w:p>
    <w:p w14:paraId="2AB0F8A8" w14:textId="20649863" w:rsidR="00362576" w:rsidRDefault="00362576" w:rsidP="00362576">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e, a measurement gap example</w:t>
      </w:r>
      <w:r w:rsidR="00FB76B4">
        <w:t xml:space="preserve"> for a UE</w:t>
      </w:r>
      <w:r>
        <w:t xml:space="preserve"> is illustrated wherein the gap occurs a number of times in a preconfigured periodicity.</w:t>
      </w:r>
      <w:r w:rsidR="00D13172">
        <w:t xml:space="preserve"> During the measurement gap, the UE switches to another carrier frequency for measurement such that the UE is not able to monitor the PDCCH in the serving carrier anymore. While in the non-gap period, the UE can </w:t>
      </w:r>
      <w:r w:rsidR="00FB76B4">
        <w:t xml:space="preserve">still </w:t>
      </w:r>
      <w:r w:rsidR="00D13172">
        <w:t>monitor PDCCH according to CORESET configuration.</w:t>
      </w:r>
    </w:p>
    <w:p w14:paraId="0D483B46" w14:textId="72C88F2F" w:rsidR="00B432A3" w:rsidRDefault="00D13172" w:rsidP="00CE0424">
      <w:pPr>
        <w:pStyle w:val="BodyText"/>
      </w:pPr>
      <w:r>
        <w:t>Based on the above investigation, we propose:</w:t>
      </w:r>
    </w:p>
    <w:p w14:paraId="7E82D10A" w14:textId="693F9D1C" w:rsidR="00621686" w:rsidRDefault="003002AB" w:rsidP="00630042">
      <w:pPr>
        <w:pStyle w:val="Proposal"/>
      </w:pPr>
      <w:bookmarkStart w:id="3" w:name="_Toc494276337"/>
      <w:bookmarkStart w:id="4" w:name="_Toc494282994"/>
      <w:bookmarkStart w:id="5" w:name="_Toc494283101"/>
      <w:bookmarkStart w:id="6" w:name="_Toc494283123"/>
      <w:bookmarkStart w:id="7" w:name="_Toc494355891"/>
      <w:bookmarkStart w:id="8" w:name="_Toc497727693"/>
      <w:r>
        <w:t>A</w:t>
      </w:r>
      <w:r w:rsidR="00621686">
        <w:t xml:space="preserve"> UE in </w:t>
      </w:r>
      <w:r w:rsidR="005249FF">
        <w:t>c</w:t>
      </w:r>
      <w:r w:rsidR="00621686">
        <w:t xml:space="preserve">onnected </w:t>
      </w:r>
      <w:r>
        <w:t xml:space="preserve">mode </w:t>
      </w:r>
      <w:r w:rsidR="00621686">
        <w:t xml:space="preserve">monitors PDCCH according to its </w:t>
      </w:r>
      <w:r w:rsidR="00D13172">
        <w:t>CORESET</w:t>
      </w:r>
      <w:r w:rsidR="0054717F">
        <w:t>s</w:t>
      </w:r>
      <w:r w:rsidR="00621686">
        <w:t xml:space="preserve">, </w:t>
      </w:r>
      <w:r w:rsidR="00344EF0">
        <w:t>unless:</w:t>
      </w:r>
      <w:bookmarkEnd w:id="3"/>
      <w:bookmarkEnd w:id="4"/>
      <w:bookmarkEnd w:id="5"/>
      <w:bookmarkEnd w:id="6"/>
      <w:bookmarkEnd w:id="7"/>
      <w:bookmarkEnd w:id="8"/>
    </w:p>
    <w:p w14:paraId="4FD97809" w14:textId="620EF38A" w:rsidR="00DA5FC1" w:rsidRDefault="00813FA1" w:rsidP="00DC2D16">
      <w:pPr>
        <w:pStyle w:val="Proposal"/>
        <w:numPr>
          <w:ilvl w:val="1"/>
          <w:numId w:val="3"/>
        </w:numPr>
      </w:pPr>
      <w:bookmarkStart w:id="9" w:name="_Toc494276338"/>
      <w:bookmarkStart w:id="10" w:name="_Toc494282995"/>
      <w:bookmarkStart w:id="11" w:name="_Toc494283102"/>
      <w:bookmarkStart w:id="12" w:name="_Toc494283124"/>
      <w:bookmarkStart w:id="13" w:name="_Toc494355892"/>
      <w:bookmarkStart w:id="14" w:name="_Toc497727694"/>
      <w:r>
        <w:t xml:space="preserve">The UE is unable to read the </w:t>
      </w:r>
      <w:r w:rsidRPr="009951D1">
        <w:rPr>
          <w:color w:val="000000" w:themeColor="text1"/>
        </w:rPr>
        <w:t>CORESETs during UL transmission in the same carrier, wherein the UL transmission overlaps in time with the CORESETs</w:t>
      </w:r>
      <w:bookmarkEnd w:id="9"/>
      <w:bookmarkEnd w:id="10"/>
      <w:bookmarkEnd w:id="11"/>
      <w:bookmarkEnd w:id="12"/>
      <w:r w:rsidR="003002AB" w:rsidRPr="009951D1">
        <w:rPr>
          <w:color w:val="000000" w:themeColor="text1"/>
        </w:rPr>
        <w:t xml:space="preserve">; </w:t>
      </w:r>
      <w:r w:rsidR="003002AB">
        <w:t>or</w:t>
      </w:r>
      <w:bookmarkEnd w:id="13"/>
      <w:bookmarkEnd w:id="14"/>
    </w:p>
    <w:p w14:paraId="1729D0D7" w14:textId="1F9A3664" w:rsidR="00344EF0" w:rsidRDefault="00E03D7A" w:rsidP="00344EF0">
      <w:pPr>
        <w:pStyle w:val="Proposal"/>
        <w:numPr>
          <w:ilvl w:val="1"/>
          <w:numId w:val="3"/>
        </w:numPr>
      </w:pPr>
      <w:bookmarkStart w:id="15" w:name="_Toc494276340"/>
      <w:bookmarkStart w:id="16" w:name="_Toc494282997"/>
      <w:bookmarkStart w:id="17" w:name="_Toc494283104"/>
      <w:bookmarkStart w:id="18" w:name="_Toc494283126"/>
      <w:bookmarkStart w:id="19" w:name="_Toc494355894"/>
      <w:bookmarkStart w:id="20" w:name="_Toc497727696"/>
      <w:r>
        <w:t>The UE</w:t>
      </w:r>
      <w:r w:rsidR="00344EF0">
        <w:t xml:space="preserve"> is </w:t>
      </w:r>
      <w:r w:rsidR="00361000">
        <w:t>not in active time</w:t>
      </w:r>
      <w:bookmarkEnd w:id="15"/>
      <w:r w:rsidR="00FB76B4">
        <w:t xml:space="preserve"> according to DRX </w:t>
      </w:r>
      <w:bookmarkEnd w:id="16"/>
      <w:r w:rsidR="00CC1276">
        <w:t>configuration</w:t>
      </w:r>
      <w:bookmarkEnd w:id="17"/>
      <w:bookmarkEnd w:id="18"/>
      <w:r w:rsidR="003002AB">
        <w:t>; or</w:t>
      </w:r>
      <w:bookmarkEnd w:id="19"/>
      <w:bookmarkEnd w:id="20"/>
    </w:p>
    <w:p w14:paraId="1E92A328" w14:textId="51943787" w:rsidR="001122BD" w:rsidRDefault="00E03D7A" w:rsidP="00DC2D16">
      <w:pPr>
        <w:pStyle w:val="Proposal"/>
        <w:numPr>
          <w:ilvl w:val="1"/>
          <w:numId w:val="3"/>
        </w:numPr>
      </w:pPr>
      <w:bookmarkStart w:id="21" w:name="_Toc494276341"/>
      <w:bookmarkStart w:id="22" w:name="_Toc494282998"/>
      <w:bookmarkStart w:id="23" w:name="_Toc494283105"/>
      <w:bookmarkStart w:id="24" w:name="_Toc494283127"/>
      <w:bookmarkStart w:id="25" w:name="_Toc494355895"/>
      <w:bookmarkStart w:id="26" w:name="_Toc497727697"/>
      <w:r>
        <w:t>The UE</w:t>
      </w:r>
      <w:r w:rsidR="001122BD">
        <w:t xml:space="preserve"> is in a measurement gap</w:t>
      </w:r>
      <w:bookmarkEnd w:id="21"/>
      <w:bookmarkEnd w:id="22"/>
      <w:bookmarkEnd w:id="23"/>
      <w:bookmarkEnd w:id="24"/>
      <w:r w:rsidR="003002AB">
        <w:t>.</w:t>
      </w:r>
      <w:bookmarkEnd w:id="25"/>
      <w:bookmarkEnd w:id="26"/>
    </w:p>
    <w:p w14:paraId="3DDFFA23" w14:textId="69E6703B" w:rsidR="008674DF" w:rsidRDefault="008B7E68" w:rsidP="006047DA">
      <w:pPr>
        <w:pStyle w:val="BodyText"/>
        <w:rPr>
          <w:noProof/>
        </w:rPr>
      </w:pPr>
      <w:r>
        <w:rPr>
          <w:noProof/>
        </w:rPr>
        <w:t>A</w:t>
      </w:r>
      <w:r w:rsidR="008674DF">
        <w:rPr>
          <w:noProof/>
        </w:rPr>
        <w:t xml:space="preserve"> special case</w:t>
      </w:r>
      <w:r>
        <w:rPr>
          <w:noProof/>
        </w:rPr>
        <w:t xml:space="preserve"> is when</w:t>
      </w:r>
      <w:r w:rsidR="008674DF">
        <w:rPr>
          <w:noProof/>
        </w:rPr>
        <w:t xml:space="preserve"> </w:t>
      </w:r>
      <w:r w:rsidR="00297794">
        <w:rPr>
          <w:noProof/>
        </w:rPr>
        <w:t>a</w:t>
      </w:r>
      <w:r w:rsidR="008674DF">
        <w:rPr>
          <w:noProof/>
        </w:rPr>
        <w:t xml:space="preserve"> measurement gap of a UE </w:t>
      </w:r>
      <w:r w:rsidR="00297794">
        <w:rPr>
          <w:noProof/>
        </w:rPr>
        <w:t xml:space="preserve">may </w:t>
      </w:r>
      <w:r w:rsidR="008674DF">
        <w:rPr>
          <w:noProof/>
        </w:rPr>
        <w:t xml:space="preserve">overlap with the RAR monitoring window </w:t>
      </w:r>
      <w:r w:rsidR="00297794">
        <w:rPr>
          <w:noProof/>
        </w:rPr>
        <w:t>for the UE after random access preamble transmission</w:t>
      </w:r>
      <w:r w:rsidR="008674DF">
        <w:rPr>
          <w:noProof/>
        </w:rPr>
        <w:t xml:space="preserve">. In LTE, the RAR monitoring is prioritized over the configured measurements corresponding to the measurement gap, i.e. the UE </w:t>
      </w:r>
      <w:r w:rsidR="000A3B9D">
        <w:rPr>
          <w:noProof/>
        </w:rPr>
        <w:t>shall monitor the PDCCH of SpCell for RAR identified by the RA-RNTI. We do not see the reason to change this.</w:t>
      </w:r>
      <w:r w:rsidR="00E5172A">
        <w:rPr>
          <w:noProof/>
        </w:rPr>
        <w:t xml:space="preserve"> </w:t>
      </w:r>
      <w:r w:rsidR="00E5172A">
        <w:rPr>
          <w:noProof/>
        </w:rPr>
        <w:fldChar w:fldCharType="begin"/>
      </w:r>
      <w:r w:rsidR="00E5172A">
        <w:rPr>
          <w:noProof/>
        </w:rPr>
        <w:instrText xml:space="preserve"> REF _Ref496773212 \h </w:instrText>
      </w:r>
      <w:r w:rsidR="00E5172A">
        <w:rPr>
          <w:noProof/>
        </w:rPr>
      </w:r>
      <w:r w:rsidR="00E5172A">
        <w:rPr>
          <w:noProof/>
        </w:rPr>
        <w:fldChar w:fldCharType="separate"/>
      </w:r>
      <w:r w:rsidR="00E5172A">
        <w:t xml:space="preserve">Figure </w:t>
      </w:r>
      <w:r w:rsidR="00E5172A">
        <w:rPr>
          <w:noProof/>
        </w:rPr>
        <w:t>2</w:t>
      </w:r>
      <w:r w:rsidR="00E5172A">
        <w:rPr>
          <w:noProof/>
        </w:rPr>
        <w:fldChar w:fldCharType="end"/>
      </w:r>
      <w:r w:rsidR="00E5172A">
        <w:rPr>
          <w:noProof/>
        </w:rPr>
        <w:t xml:space="preserve"> </w:t>
      </w:r>
      <w:r w:rsidR="00123C38">
        <w:rPr>
          <w:noProof/>
        </w:rPr>
        <w:t xml:space="preserve">shows an example </w:t>
      </w:r>
      <w:r w:rsidR="009A0B94">
        <w:rPr>
          <w:noProof/>
        </w:rPr>
        <w:t>where</w:t>
      </w:r>
      <w:r w:rsidR="00123C38">
        <w:rPr>
          <w:noProof/>
        </w:rPr>
        <w:t xml:space="preserve"> a UE </w:t>
      </w:r>
      <w:r w:rsidR="009A0B94">
        <w:rPr>
          <w:noProof/>
        </w:rPr>
        <w:t>continues</w:t>
      </w:r>
      <w:r w:rsidR="00123C38">
        <w:rPr>
          <w:noProof/>
        </w:rPr>
        <w:t xml:space="preserve"> RAR monitoring when a measurement gap ocurrs.</w:t>
      </w:r>
    </w:p>
    <w:p w14:paraId="3BD55A6A" w14:textId="7E2D9440" w:rsidR="00E5172A" w:rsidRDefault="00E5172A" w:rsidP="006047DA">
      <w:pPr>
        <w:pStyle w:val="BodyText"/>
        <w:jc w:val="center"/>
        <w:rPr>
          <w:noProof/>
        </w:rPr>
      </w:pPr>
      <w:r>
        <w:rPr>
          <w:noProof/>
          <w:lang w:val="en-US"/>
        </w:rPr>
        <w:drawing>
          <wp:inline distT="0" distB="0" distL="0" distR="0" wp14:anchorId="53C32087" wp14:editId="70074BA0">
            <wp:extent cx="5661025" cy="1937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5582" cy="1942887"/>
                    </a:xfrm>
                    <a:prstGeom prst="rect">
                      <a:avLst/>
                    </a:prstGeom>
                    <a:noFill/>
                  </pic:spPr>
                </pic:pic>
              </a:graphicData>
            </a:graphic>
          </wp:inline>
        </w:drawing>
      </w:r>
    </w:p>
    <w:p w14:paraId="359D4593" w14:textId="7907D452" w:rsidR="00E5172A" w:rsidRDefault="00E5172A" w:rsidP="006047DA">
      <w:pPr>
        <w:pStyle w:val="Caption"/>
        <w:rPr>
          <w:noProof/>
        </w:rPr>
      </w:pPr>
      <w:bookmarkStart w:id="27" w:name="_Ref496773212"/>
      <w:r>
        <w:t xml:space="preserve">Figure </w:t>
      </w:r>
      <w:r>
        <w:fldChar w:fldCharType="begin"/>
      </w:r>
      <w:r>
        <w:instrText xml:space="preserve"> SEQ Figure \* ARABIC </w:instrText>
      </w:r>
      <w:r>
        <w:fldChar w:fldCharType="separate"/>
      </w:r>
      <w:r>
        <w:rPr>
          <w:noProof/>
        </w:rPr>
        <w:t>2</w:t>
      </w:r>
      <w:r>
        <w:fldChar w:fldCharType="end"/>
      </w:r>
      <w:bookmarkEnd w:id="27"/>
      <w:r>
        <w:t xml:space="preserve"> RAR monitoring regardless of measurement gap ocurrance</w:t>
      </w:r>
    </w:p>
    <w:p w14:paraId="47A3C47B" w14:textId="0022EF74" w:rsidR="000A3B9D" w:rsidRDefault="00F318F1" w:rsidP="00FB1AD0">
      <w:pPr>
        <w:pStyle w:val="Proposal"/>
      </w:pPr>
      <w:bookmarkStart w:id="28" w:name="_Toc497727698"/>
      <w:r>
        <w:t>UE monitors PDCCH</w:t>
      </w:r>
      <w:r w:rsidR="000A3B9D">
        <w:t xml:space="preserve"> for RAR transmission in SpCell</w:t>
      </w:r>
      <w:r>
        <w:t xml:space="preserve"> regardless of</w:t>
      </w:r>
      <w:r w:rsidR="000A3B9D">
        <w:t xml:space="preserve"> </w:t>
      </w:r>
      <w:r w:rsidR="004670F0">
        <w:t>measurement gap</w:t>
      </w:r>
      <w:r>
        <w:t xml:space="preserve"> occurance</w:t>
      </w:r>
      <w:bookmarkEnd w:id="28"/>
    </w:p>
    <w:p w14:paraId="52BDDAC4" w14:textId="006DB90B" w:rsidR="003742AC" w:rsidRDefault="00B75B18" w:rsidP="00A57C03">
      <w:pPr>
        <w:pStyle w:val="Heading1"/>
      </w:pPr>
      <w:r>
        <w:t>Text proposal</w:t>
      </w:r>
      <w:r w:rsidR="006047DA">
        <w:t xml:space="preserve"> to TS 38.321</w:t>
      </w:r>
    </w:p>
    <w:p w14:paraId="019471B7" w14:textId="77777777" w:rsidR="00A57C03" w:rsidRDefault="00A57C03" w:rsidP="00A57C03">
      <w:pPr>
        <w:pStyle w:val="Heading2"/>
        <w:numPr>
          <w:ilvl w:val="0"/>
          <w:numId w:val="0"/>
        </w:numPr>
        <w:ind w:left="576" w:hanging="576"/>
        <w:rPr>
          <w:lang w:eastAsia="ko-KR"/>
        </w:rPr>
      </w:pPr>
      <w:bookmarkStart w:id="29" w:name="_Toc491782017"/>
      <w:r w:rsidRPr="009A5D76">
        <w:rPr>
          <w:lang w:eastAsia="ko-KR"/>
        </w:rPr>
        <w:t>5.7</w:t>
      </w:r>
      <w:r w:rsidRPr="009A5D76">
        <w:rPr>
          <w:lang w:eastAsia="ko-KR"/>
        </w:rPr>
        <w:tab/>
        <w:t>Discontinuous Reception (DRX)</w:t>
      </w:r>
      <w:bookmarkEnd w:id="29"/>
    </w:p>
    <w:p w14:paraId="22E33AE6" w14:textId="77777777" w:rsidR="006047DA" w:rsidRPr="00A57C03" w:rsidRDefault="00B75B18" w:rsidP="006047DA">
      <w:pPr>
        <w:rPr>
          <w:ins w:id="30" w:author="Ericsson" w:date="2017-11-16T21:54:00Z"/>
        </w:rPr>
      </w:pPr>
      <w:r w:rsidRPr="00E464AA">
        <w:rPr>
          <w:lang w:eastAsia="ko-KR"/>
        </w:rPr>
        <w:t xml:space="preserve">The MAC entity may be configured by RRC with a DRX functionality that controls the UE’s </w:t>
      </w:r>
      <w:r w:rsidRPr="00187273">
        <w:rPr>
          <w:lang w:eastAsia="ko-KR"/>
        </w:rPr>
        <w:t>PDCCH</w:t>
      </w:r>
      <w:r>
        <w:rPr>
          <w:lang w:eastAsia="ko-KR"/>
        </w:rPr>
        <w:t xml:space="preserve"> monitoring</w:t>
      </w:r>
      <w:r>
        <w:rPr>
          <w:rFonts w:hint="eastAsia"/>
          <w:lang w:eastAsia="ko-KR"/>
        </w:rPr>
        <w:t xml:space="preserve">. </w:t>
      </w:r>
      <w:r w:rsidRPr="001911A2">
        <w:rPr>
          <w:lang w:eastAsia="ko-KR"/>
        </w:rPr>
        <w:t xml:space="preserve">When in RRC_CONNECTED, if DRX is configured, the MAC entity </w:t>
      </w:r>
      <w:r>
        <w:rPr>
          <w:rFonts w:hint="eastAsia"/>
          <w:lang w:eastAsia="ko-KR"/>
        </w:rPr>
        <w:t>may</w:t>
      </w:r>
      <w:r w:rsidRPr="001911A2">
        <w:rPr>
          <w:lang w:eastAsia="ko-KR"/>
        </w:rPr>
        <w:t xml:space="preserve"> monitor the </w:t>
      </w:r>
      <w:r w:rsidRPr="00187273">
        <w:rPr>
          <w:lang w:eastAsia="ko-KR"/>
        </w:rPr>
        <w:t>PDCCH</w:t>
      </w:r>
      <w:r w:rsidRPr="001911A2">
        <w:rPr>
          <w:lang w:eastAsia="ko-KR"/>
        </w:rPr>
        <w:t xml:space="preserve"> discontinuously using the DRX operation specified in this subclause; otherwise the MAC entity </w:t>
      </w:r>
      <w:r>
        <w:rPr>
          <w:rFonts w:hint="eastAsia"/>
          <w:lang w:eastAsia="ko-KR"/>
        </w:rPr>
        <w:t xml:space="preserve">shall </w:t>
      </w:r>
      <w:r w:rsidRPr="001911A2">
        <w:rPr>
          <w:lang w:eastAsia="ko-KR"/>
        </w:rPr>
        <w:t xml:space="preserve">monitor the </w:t>
      </w:r>
      <w:r w:rsidRPr="00187273">
        <w:rPr>
          <w:lang w:eastAsia="ko-KR"/>
        </w:rPr>
        <w:t>PDCCH</w:t>
      </w:r>
      <w:r w:rsidRPr="001911A2">
        <w:rPr>
          <w:lang w:eastAsia="ko-KR"/>
        </w:rPr>
        <w:t xml:space="preserve"> continuously. </w:t>
      </w:r>
      <w:r w:rsidRPr="00021D86">
        <w:rPr>
          <w:lang w:eastAsia="ko-KR"/>
        </w:rPr>
        <w:t xml:space="preserve">When using DRX operation, the MAC entity shall monitor </w:t>
      </w:r>
      <w:r w:rsidRPr="00187273">
        <w:rPr>
          <w:lang w:eastAsia="ko-KR"/>
        </w:rPr>
        <w:t>PDCCH</w:t>
      </w:r>
      <w:r w:rsidRPr="00021D86">
        <w:rPr>
          <w:lang w:eastAsia="ko-KR"/>
        </w:rPr>
        <w:t xml:space="preserve"> according to requirements found in this specification</w:t>
      </w:r>
      <w:r>
        <w:rPr>
          <w:lang w:eastAsia="ko-KR"/>
        </w:rPr>
        <w:t xml:space="preserve"> </w:t>
      </w:r>
      <w:ins w:id="31" w:author="Ericsson" w:date="2017-11-16T21:54:00Z">
        <w:r w:rsidR="006047DA" w:rsidRPr="00A57C03">
          <w:t>with the following exceptions:</w:t>
        </w:r>
      </w:ins>
    </w:p>
    <w:p w14:paraId="02574AE5" w14:textId="77777777" w:rsidR="006047DA" w:rsidRPr="00A57C03" w:rsidRDefault="006047DA" w:rsidP="006047DA">
      <w:pPr>
        <w:pStyle w:val="B1"/>
        <w:rPr>
          <w:ins w:id="32" w:author="Ericsson" w:date="2017-11-16T21:54:00Z"/>
        </w:rPr>
      </w:pPr>
      <w:ins w:id="33" w:author="Ericsson" w:date="2017-11-16T21:54:00Z">
        <w:r w:rsidRPr="00A57C03">
          <w:t>-</w:t>
        </w:r>
        <w:r>
          <w:tab/>
        </w:r>
        <w:r w:rsidRPr="00A57C03">
          <w:t>a measurement gap is “active”</w:t>
        </w:r>
      </w:ins>
    </w:p>
    <w:p w14:paraId="69E0F5A7" w14:textId="77777777" w:rsidR="006047DA" w:rsidRPr="00A57C03" w:rsidRDefault="006047DA" w:rsidP="006047DA">
      <w:pPr>
        <w:pStyle w:val="B1"/>
        <w:rPr>
          <w:ins w:id="34" w:author="Ericsson" w:date="2017-11-16T21:54:00Z"/>
        </w:rPr>
      </w:pPr>
      <w:ins w:id="35" w:author="Ericsson" w:date="2017-11-16T21:54:00Z">
        <w:r w:rsidRPr="00A57C03">
          <w:t>-</w:t>
        </w:r>
        <w:r>
          <w:tab/>
        </w:r>
        <w:r w:rsidRPr="00A57C03">
          <w:t>the UE has been scheduled to perform a UL transmission</w:t>
        </w:r>
        <w:r>
          <w:t xml:space="preserve"> in the same cell and the UE is unable to perform this transmission and monitor PDCCH simultaneously</w:t>
        </w:r>
        <w:r w:rsidRPr="00A57C03">
          <w:t>;</w:t>
        </w:r>
      </w:ins>
    </w:p>
    <w:p w14:paraId="030FD8DF" w14:textId="302C95F9" w:rsidR="00B75B18" w:rsidRDefault="006047DA" w:rsidP="00B75B18">
      <w:pPr>
        <w:rPr>
          <w:ins w:id="36" w:author="Jinhua Liu" w:date="2017-09-28T15:49:00Z"/>
          <w:lang w:eastAsia="ko-KR"/>
        </w:rPr>
      </w:pPr>
      <w:r>
        <w:rPr>
          <w:lang w:eastAsia="ko-KR"/>
        </w:rPr>
        <w:t>...</w:t>
      </w:r>
    </w:p>
    <w:p w14:paraId="61CBDCFD" w14:textId="77777777" w:rsidR="00B75B18" w:rsidRDefault="00B75B18" w:rsidP="00B75B18">
      <w:pPr>
        <w:pStyle w:val="Guidance"/>
      </w:pPr>
    </w:p>
    <w:p w14:paraId="6FB6270F" w14:textId="77777777" w:rsidR="003742AC" w:rsidRPr="00CE0424" w:rsidRDefault="003742AC" w:rsidP="006E062C"/>
    <w:p w14:paraId="3A055EF7" w14:textId="77777777" w:rsidR="00C01F33" w:rsidRPr="00CE0424" w:rsidRDefault="00C01F33" w:rsidP="00CE0424">
      <w:pPr>
        <w:pStyle w:val="Heading1"/>
      </w:pPr>
      <w:r w:rsidRPr="00CE0424">
        <w:t>Conclusion</w:t>
      </w:r>
    </w:p>
    <w:p w14:paraId="53EE31F1" w14:textId="23DCF390" w:rsidR="007E52B3" w:rsidRDefault="008E065E" w:rsidP="00A57C03">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C43AA">
        <w:t>2</w:t>
      </w:r>
      <w:r w:rsidRPr="00CE0424">
        <w:rPr>
          <w:highlight w:val="cyan"/>
        </w:rPr>
        <w:fldChar w:fldCharType="end"/>
      </w:r>
      <w:r w:rsidRPr="00CE0424">
        <w:t xml:space="preserve"> we propose the following:</w:t>
      </w:r>
    </w:p>
    <w:sdt>
      <w:sdtPr>
        <w:rPr>
          <w:b w:val="0"/>
          <w:noProof w:val="0"/>
          <w:szCs w:val="20"/>
          <w:lang w:val="en-GB"/>
        </w:rPr>
        <w:id w:val="-317273998"/>
        <w:docPartObj>
          <w:docPartGallery w:val="Table of Contents"/>
          <w:docPartUnique/>
        </w:docPartObj>
      </w:sdtPr>
      <w:sdtEndPr>
        <w:rPr>
          <w:noProof/>
          <w:szCs w:val="22"/>
          <w:lang w:val="en-US"/>
        </w:rPr>
      </w:sdtEndPr>
      <w:sdtContent>
        <w:p w14:paraId="780949BD" w14:textId="77777777" w:rsidR="008E7CFB" w:rsidRDefault="008E7CFB">
          <w:pPr>
            <w:pStyle w:val="TOC1"/>
            <w:rPr>
              <w:rFonts w:asciiTheme="minorHAnsi" w:eastAsiaTheme="minorEastAsia" w:hAnsiTheme="minorHAnsi" w:cstheme="minorBidi"/>
              <w:b w:val="0"/>
              <w:sz w:val="22"/>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7727693" w:history="1">
            <w:r w:rsidRPr="00DB2471">
              <w:rPr>
                <w:rStyle w:val="Hyperlink"/>
              </w:rPr>
              <w:t>Proposal 1</w:t>
            </w:r>
            <w:r>
              <w:rPr>
                <w:rFonts w:asciiTheme="minorHAnsi" w:eastAsiaTheme="minorEastAsia" w:hAnsiTheme="minorHAnsi" w:cstheme="minorBidi"/>
                <w:b w:val="0"/>
                <w:sz w:val="22"/>
              </w:rPr>
              <w:tab/>
            </w:r>
            <w:r w:rsidRPr="00DB2471">
              <w:rPr>
                <w:rStyle w:val="Hyperlink"/>
              </w:rPr>
              <w:t>A UE in Connected mode monitors PDCCH according to its CORESET in a slot, unless:</w:t>
            </w:r>
          </w:hyperlink>
        </w:p>
        <w:p w14:paraId="175EC85B" w14:textId="77777777" w:rsidR="008E7CFB" w:rsidRDefault="008E7CFB">
          <w:pPr>
            <w:pStyle w:val="TOC1"/>
            <w:rPr>
              <w:rFonts w:asciiTheme="minorHAnsi" w:eastAsiaTheme="minorEastAsia" w:hAnsiTheme="minorHAnsi" w:cstheme="minorBidi"/>
              <w:b w:val="0"/>
              <w:sz w:val="22"/>
            </w:rPr>
          </w:pPr>
          <w:hyperlink w:anchor="_Toc497727694" w:history="1">
            <w:r w:rsidRPr="00DB2471">
              <w:rPr>
                <w:rStyle w:val="Hyperlink"/>
              </w:rPr>
              <w:t>a.</w:t>
            </w:r>
            <w:r>
              <w:rPr>
                <w:rFonts w:asciiTheme="minorHAnsi" w:eastAsiaTheme="minorEastAsia" w:hAnsiTheme="minorHAnsi" w:cstheme="minorBidi"/>
                <w:b w:val="0"/>
                <w:sz w:val="22"/>
              </w:rPr>
              <w:tab/>
            </w:r>
            <w:r w:rsidRPr="00DB2471">
              <w:rPr>
                <w:rStyle w:val="Hyperlink"/>
              </w:rPr>
              <w:t>The UE has been scheduled for a UL transmission in the slot; or</w:t>
            </w:r>
          </w:hyperlink>
        </w:p>
        <w:p w14:paraId="2A3905BB" w14:textId="77777777" w:rsidR="008E7CFB" w:rsidRDefault="008E7CFB">
          <w:pPr>
            <w:pStyle w:val="TOC1"/>
            <w:rPr>
              <w:rFonts w:asciiTheme="minorHAnsi" w:eastAsiaTheme="minorEastAsia" w:hAnsiTheme="minorHAnsi" w:cstheme="minorBidi"/>
              <w:b w:val="0"/>
              <w:sz w:val="22"/>
            </w:rPr>
          </w:pPr>
          <w:hyperlink w:anchor="_Toc497727695" w:history="1">
            <w:r w:rsidRPr="00DB2471">
              <w:rPr>
                <w:rStyle w:val="Hyperlink"/>
              </w:rPr>
              <w:t>b.</w:t>
            </w:r>
            <w:r>
              <w:rPr>
                <w:rFonts w:asciiTheme="minorHAnsi" w:eastAsiaTheme="minorEastAsia" w:hAnsiTheme="minorHAnsi" w:cstheme="minorBidi"/>
                <w:b w:val="0"/>
                <w:sz w:val="22"/>
              </w:rPr>
              <w:tab/>
            </w:r>
            <w:r w:rsidRPr="00DB2471">
              <w:rPr>
                <w:rStyle w:val="Hyperlink"/>
              </w:rPr>
              <w:t>The slot is an uplink slot according to the semi-static UL-DL configuration; or</w:t>
            </w:r>
          </w:hyperlink>
        </w:p>
        <w:p w14:paraId="689D9306" w14:textId="77777777" w:rsidR="008E7CFB" w:rsidRDefault="008E7CFB">
          <w:pPr>
            <w:pStyle w:val="TOC1"/>
            <w:rPr>
              <w:rFonts w:asciiTheme="minorHAnsi" w:eastAsiaTheme="minorEastAsia" w:hAnsiTheme="minorHAnsi" w:cstheme="minorBidi"/>
              <w:b w:val="0"/>
              <w:sz w:val="22"/>
            </w:rPr>
          </w:pPr>
          <w:hyperlink w:anchor="_Toc497727696" w:history="1">
            <w:r w:rsidRPr="00DB2471">
              <w:rPr>
                <w:rStyle w:val="Hyperlink"/>
              </w:rPr>
              <w:t>c.</w:t>
            </w:r>
            <w:r>
              <w:rPr>
                <w:rFonts w:asciiTheme="minorHAnsi" w:eastAsiaTheme="minorEastAsia" w:hAnsiTheme="minorHAnsi" w:cstheme="minorBidi"/>
                <w:b w:val="0"/>
                <w:sz w:val="22"/>
              </w:rPr>
              <w:tab/>
            </w:r>
            <w:r w:rsidRPr="00DB2471">
              <w:rPr>
                <w:rStyle w:val="Hyperlink"/>
              </w:rPr>
              <w:t>The UE is in sleep according to DRX operation configuration; or</w:t>
            </w:r>
          </w:hyperlink>
        </w:p>
        <w:p w14:paraId="001E40F3" w14:textId="77777777" w:rsidR="008E7CFB" w:rsidRDefault="008E7CFB">
          <w:pPr>
            <w:pStyle w:val="TOC1"/>
            <w:rPr>
              <w:rFonts w:asciiTheme="minorHAnsi" w:eastAsiaTheme="minorEastAsia" w:hAnsiTheme="minorHAnsi" w:cstheme="minorBidi"/>
              <w:b w:val="0"/>
              <w:sz w:val="22"/>
            </w:rPr>
          </w:pPr>
          <w:hyperlink w:anchor="_Toc497727697" w:history="1">
            <w:r w:rsidRPr="00DB2471">
              <w:rPr>
                <w:rStyle w:val="Hyperlink"/>
              </w:rPr>
              <w:t>d.</w:t>
            </w:r>
            <w:r>
              <w:rPr>
                <w:rFonts w:asciiTheme="minorHAnsi" w:eastAsiaTheme="minorEastAsia" w:hAnsiTheme="minorHAnsi" w:cstheme="minorBidi"/>
                <w:b w:val="0"/>
                <w:sz w:val="22"/>
              </w:rPr>
              <w:tab/>
            </w:r>
            <w:r w:rsidRPr="00DB2471">
              <w:rPr>
                <w:rStyle w:val="Hyperlink"/>
              </w:rPr>
              <w:t>The UE is in a measurement gap.</w:t>
            </w:r>
          </w:hyperlink>
        </w:p>
        <w:p w14:paraId="23AE4FBE" w14:textId="77777777" w:rsidR="008E7CFB" w:rsidRDefault="008E7CFB">
          <w:pPr>
            <w:pStyle w:val="TOC1"/>
            <w:rPr>
              <w:rFonts w:asciiTheme="minorHAnsi" w:eastAsiaTheme="minorEastAsia" w:hAnsiTheme="minorHAnsi" w:cstheme="minorBidi"/>
              <w:b w:val="0"/>
              <w:sz w:val="22"/>
            </w:rPr>
          </w:pPr>
          <w:hyperlink w:anchor="_Toc497727698" w:history="1">
            <w:r w:rsidRPr="00DB2471">
              <w:rPr>
                <w:rStyle w:val="Hyperlink"/>
              </w:rPr>
              <w:t>Proposal 2</w:t>
            </w:r>
            <w:r>
              <w:rPr>
                <w:rFonts w:asciiTheme="minorHAnsi" w:eastAsiaTheme="minorEastAsia" w:hAnsiTheme="minorHAnsi" w:cstheme="minorBidi"/>
                <w:b w:val="0"/>
                <w:sz w:val="22"/>
              </w:rPr>
              <w:tab/>
            </w:r>
            <w:r w:rsidRPr="00DB2471">
              <w:rPr>
                <w:rStyle w:val="Hyperlink"/>
              </w:rPr>
              <w:t>UE monitors PDCCH for RAR transmission in SpCell regardless of measurement gap occurance</w:t>
            </w:r>
          </w:hyperlink>
        </w:p>
        <w:p w14:paraId="6E78A3D7" w14:textId="13EF92E8" w:rsidR="00A57C03" w:rsidRDefault="008E7CFB" w:rsidP="006047DA">
          <w:pPr>
            <w:pStyle w:val="TOC1"/>
          </w:pPr>
          <w:r>
            <w:rPr>
              <w:b w:val="0"/>
            </w:rPr>
            <w:fldChar w:fldCharType="end"/>
          </w:r>
        </w:p>
      </w:sdtContent>
    </w:sdt>
    <w:p w14:paraId="76EC86F7" w14:textId="77777777" w:rsidR="00F507D1" w:rsidRPr="00CE0424" w:rsidRDefault="00F507D1" w:rsidP="00CE0424">
      <w:pPr>
        <w:pStyle w:val="Heading1"/>
      </w:pPr>
      <w:bookmarkStart w:id="37" w:name="_In-sequence_SDU_delivery"/>
      <w:bookmarkEnd w:id="37"/>
      <w:r w:rsidRPr="00CE0424">
        <w:t>References</w:t>
      </w:r>
    </w:p>
    <w:p w14:paraId="5D941C0F" w14:textId="1CC01420" w:rsidR="005F3025" w:rsidRPr="00CE0424" w:rsidRDefault="00FB76B4" w:rsidP="00311702">
      <w:pPr>
        <w:pStyle w:val="Reference"/>
      </w:pPr>
      <w:bookmarkStart w:id="38" w:name="_Ref494282766"/>
      <w:bookmarkStart w:id="39" w:name="_Ref174151459"/>
      <w:bookmarkStart w:id="40" w:name="_Ref189809556"/>
      <w:r>
        <w:t>Chairman notes, 3GPP RAN1 AdHoc #3, September 18~21, 2017, Nago</w:t>
      </w:r>
      <w:r w:rsidR="00A57C03">
        <w:t>y</w:t>
      </w:r>
      <w:r>
        <w:t>a, Japan</w:t>
      </w:r>
      <w:bookmarkEnd w:id="38"/>
    </w:p>
    <w:bookmarkEnd w:id="39"/>
    <w:bookmarkEnd w:id="40"/>
    <w:p w14:paraId="16054A16"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A1030" w14:textId="77777777" w:rsidR="00FC41D1" w:rsidRDefault="00FC41D1">
      <w:r>
        <w:separator/>
      </w:r>
    </w:p>
  </w:endnote>
  <w:endnote w:type="continuationSeparator" w:id="0">
    <w:p w14:paraId="76414BF6" w14:textId="77777777" w:rsidR="00FC41D1" w:rsidRDefault="00FC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6B9F8" w14:textId="5643BF1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47D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7D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65B1B" w14:textId="77777777" w:rsidR="00FC41D1" w:rsidRDefault="00FC41D1">
      <w:r>
        <w:separator/>
      </w:r>
    </w:p>
  </w:footnote>
  <w:footnote w:type="continuationSeparator" w:id="0">
    <w:p w14:paraId="0B616A9E" w14:textId="77777777" w:rsidR="00FC41D1" w:rsidRDefault="00FC4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990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6C10F50"/>
    <w:multiLevelType w:val="hybridMultilevel"/>
    <w:tmpl w:val="58E0DA8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29E01F85"/>
    <w:multiLevelType w:val="hybridMultilevel"/>
    <w:tmpl w:val="96A4B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27AE"/>
    <w:multiLevelType w:val="hybridMultilevel"/>
    <w:tmpl w:val="F998F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cs="Times New Roman" w:hint="default"/>
      </w:rPr>
    </w:lvl>
    <w:lvl w:ilvl="1" w:tplc="2AA09EFC">
      <w:numFmt w:val="bullet"/>
      <w:lvlText w:val="•"/>
      <w:lvlJc w:val="left"/>
      <w:pPr>
        <w:tabs>
          <w:tab w:val="num" w:pos="1440"/>
        </w:tabs>
        <w:ind w:left="1440" w:hanging="360"/>
      </w:pPr>
      <w:rPr>
        <w:rFonts w:ascii="Arial" w:hAnsi="Arial" w:cs="Times New Roman" w:hint="default"/>
      </w:rPr>
    </w:lvl>
    <w:lvl w:ilvl="2" w:tplc="ABDED6D0">
      <w:numFmt w:val="bullet"/>
      <w:lvlText w:val="•"/>
      <w:lvlJc w:val="left"/>
      <w:pPr>
        <w:tabs>
          <w:tab w:val="num" w:pos="2160"/>
        </w:tabs>
        <w:ind w:left="2160" w:hanging="360"/>
      </w:pPr>
      <w:rPr>
        <w:rFonts w:ascii="Arial" w:hAnsi="Arial" w:cs="Times New Roman" w:hint="default"/>
      </w:rPr>
    </w:lvl>
    <w:lvl w:ilvl="3" w:tplc="A074152A">
      <w:start w:val="1"/>
      <w:numFmt w:val="bullet"/>
      <w:lvlText w:val="•"/>
      <w:lvlJc w:val="left"/>
      <w:pPr>
        <w:tabs>
          <w:tab w:val="num" w:pos="2880"/>
        </w:tabs>
        <w:ind w:left="2880" w:hanging="360"/>
      </w:pPr>
      <w:rPr>
        <w:rFonts w:ascii="Arial" w:hAnsi="Arial" w:cs="Times New Roman" w:hint="default"/>
      </w:rPr>
    </w:lvl>
    <w:lvl w:ilvl="4" w:tplc="47F2A722">
      <w:start w:val="1"/>
      <w:numFmt w:val="bullet"/>
      <w:lvlText w:val="•"/>
      <w:lvlJc w:val="left"/>
      <w:pPr>
        <w:tabs>
          <w:tab w:val="num" w:pos="3600"/>
        </w:tabs>
        <w:ind w:left="3600" w:hanging="360"/>
      </w:pPr>
      <w:rPr>
        <w:rFonts w:ascii="Arial" w:hAnsi="Arial" w:cs="Times New Roman" w:hint="default"/>
      </w:rPr>
    </w:lvl>
    <w:lvl w:ilvl="5" w:tplc="344E0508">
      <w:start w:val="1"/>
      <w:numFmt w:val="bullet"/>
      <w:lvlText w:val="•"/>
      <w:lvlJc w:val="left"/>
      <w:pPr>
        <w:tabs>
          <w:tab w:val="num" w:pos="4320"/>
        </w:tabs>
        <w:ind w:left="4320" w:hanging="360"/>
      </w:pPr>
      <w:rPr>
        <w:rFonts w:ascii="Arial" w:hAnsi="Arial" w:cs="Times New Roman" w:hint="default"/>
      </w:rPr>
    </w:lvl>
    <w:lvl w:ilvl="6" w:tplc="4CF4C076">
      <w:start w:val="1"/>
      <w:numFmt w:val="bullet"/>
      <w:lvlText w:val="•"/>
      <w:lvlJc w:val="left"/>
      <w:pPr>
        <w:tabs>
          <w:tab w:val="num" w:pos="5040"/>
        </w:tabs>
        <w:ind w:left="5040" w:hanging="360"/>
      </w:pPr>
      <w:rPr>
        <w:rFonts w:ascii="Arial" w:hAnsi="Arial" w:cs="Times New Roman" w:hint="default"/>
      </w:rPr>
    </w:lvl>
    <w:lvl w:ilvl="7" w:tplc="1F0445C0">
      <w:start w:val="1"/>
      <w:numFmt w:val="bullet"/>
      <w:lvlText w:val="•"/>
      <w:lvlJc w:val="left"/>
      <w:pPr>
        <w:tabs>
          <w:tab w:val="num" w:pos="5760"/>
        </w:tabs>
        <w:ind w:left="5760" w:hanging="360"/>
      </w:pPr>
      <w:rPr>
        <w:rFonts w:ascii="Arial" w:hAnsi="Arial" w:cs="Times New Roman" w:hint="default"/>
      </w:rPr>
    </w:lvl>
    <w:lvl w:ilvl="8" w:tplc="56AC914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cs="Times New Roman" w:hint="default"/>
      </w:rPr>
    </w:lvl>
    <w:lvl w:ilvl="1" w:tplc="636A74A4">
      <w:numFmt w:val="bullet"/>
      <w:lvlText w:val="•"/>
      <w:lvlJc w:val="left"/>
      <w:pPr>
        <w:tabs>
          <w:tab w:val="num" w:pos="1440"/>
        </w:tabs>
        <w:ind w:left="1440" w:hanging="360"/>
      </w:pPr>
      <w:rPr>
        <w:rFonts w:ascii="Arial" w:hAnsi="Arial" w:cs="Times New Roman" w:hint="default"/>
      </w:rPr>
    </w:lvl>
    <w:lvl w:ilvl="2" w:tplc="279C172C">
      <w:numFmt w:val="bullet"/>
      <w:lvlText w:val="•"/>
      <w:lvlJc w:val="left"/>
      <w:pPr>
        <w:tabs>
          <w:tab w:val="num" w:pos="2160"/>
        </w:tabs>
        <w:ind w:left="2160" w:hanging="360"/>
      </w:pPr>
      <w:rPr>
        <w:rFonts w:ascii="Arial" w:hAnsi="Arial" w:cs="Times New Roman" w:hint="default"/>
      </w:rPr>
    </w:lvl>
    <w:lvl w:ilvl="3" w:tplc="70ECA508">
      <w:start w:val="1"/>
      <w:numFmt w:val="bullet"/>
      <w:lvlText w:val="•"/>
      <w:lvlJc w:val="left"/>
      <w:pPr>
        <w:tabs>
          <w:tab w:val="num" w:pos="2880"/>
        </w:tabs>
        <w:ind w:left="2880" w:hanging="360"/>
      </w:pPr>
      <w:rPr>
        <w:rFonts w:ascii="Arial" w:hAnsi="Arial" w:cs="Times New Roman" w:hint="default"/>
      </w:rPr>
    </w:lvl>
    <w:lvl w:ilvl="4" w:tplc="B22E2FF4">
      <w:start w:val="1"/>
      <w:numFmt w:val="bullet"/>
      <w:lvlText w:val="•"/>
      <w:lvlJc w:val="left"/>
      <w:pPr>
        <w:tabs>
          <w:tab w:val="num" w:pos="3600"/>
        </w:tabs>
        <w:ind w:left="3600" w:hanging="360"/>
      </w:pPr>
      <w:rPr>
        <w:rFonts w:ascii="Arial" w:hAnsi="Arial" w:cs="Times New Roman" w:hint="default"/>
      </w:rPr>
    </w:lvl>
    <w:lvl w:ilvl="5" w:tplc="0944EE76">
      <w:start w:val="1"/>
      <w:numFmt w:val="bullet"/>
      <w:lvlText w:val="•"/>
      <w:lvlJc w:val="left"/>
      <w:pPr>
        <w:tabs>
          <w:tab w:val="num" w:pos="4320"/>
        </w:tabs>
        <w:ind w:left="4320" w:hanging="360"/>
      </w:pPr>
      <w:rPr>
        <w:rFonts w:ascii="Arial" w:hAnsi="Arial" w:cs="Times New Roman" w:hint="default"/>
      </w:rPr>
    </w:lvl>
    <w:lvl w:ilvl="6" w:tplc="D84EA954">
      <w:start w:val="1"/>
      <w:numFmt w:val="bullet"/>
      <w:lvlText w:val="•"/>
      <w:lvlJc w:val="left"/>
      <w:pPr>
        <w:tabs>
          <w:tab w:val="num" w:pos="5040"/>
        </w:tabs>
        <w:ind w:left="5040" w:hanging="360"/>
      </w:pPr>
      <w:rPr>
        <w:rFonts w:ascii="Arial" w:hAnsi="Arial" w:cs="Times New Roman" w:hint="default"/>
      </w:rPr>
    </w:lvl>
    <w:lvl w:ilvl="7" w:tplc="943C44E2">
      <w:start w:val="1"/>
      <w:numFmt w:val="bullet"/>
      <w:lvlText w:val="•"/>
      <w:lvlJc w:val="left"/>
      <w:pPr>
        <w:tabs>
          <w:tab w:val="num" w:pos="5760"/>
        </w:tabs>
        <w:ind w:left="5760" w:hanging="360"/>
      </w:pPr>
      <w:rPr>
        <w:rFonts w:ascii="Arial" w:hAnsi="Arial" w:cs="Times New Roman" w:hint="default"/>
      </w:rPr>
    </w:lvl>
    <w:lvl w:ilvl="8" w:tplc="1FD22F7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7"/>
  </w:num>
  <w:num w:numId="17">
    <w:abstractNumId w:val="12"/>
  </w:num>
  <w:num w:numId="18">
    <w:abstractNumId w:val="13"/>
  </w:num>
  <w:num w:numId="19">
    <w:abstractNumId w:val="13"/>
  </w:num>
  <w:num w:numId="20">
    <w:abstractNumId w:val="11"/>
  </w:num>
  <w:num w:numId="21">
    <w:abstractNumId w:val="5"/>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7"/>
  </w:num>
  <w:num w:numId="24">
    <w:abstractNumId w:val="6"/>
  </w:num>
  <w:num w:numId="25">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inhua Liu">
    <w15:presenceInfo w15:providerId="AD" w15:userId="S-1-5-21-1538607324-3213881460-940295383-24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3A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B9D"/>
    <w:rsid w:val="000A56F2"/>
    <w:rsid w:val="000B100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2BD"/>
    <w:rsid w:val="00113CF4"/>
    <w:rsid w:val="001153EA"/>
    <w:rsid w:val="00115643"/>
    <w:rsid w:val="00116765"/>
    <w:rsid w:val="001219F5"/>
    <w:rsid w:val="00121A20"/>
    <w:rsid w:val="0012377F"/>
    <w:rsid w:val="00123C38"/>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F86"/>
    <w:rsid w:val="0028280A"/>
    <w:rsid w:val="00286ACD"/>
    <w:rsid w:val="00287838"/>
    <w:rsid w:val="002907B5"/>
    <w:rsid w:val="00292EB7"/>
    <w:rsid w:val="00296227"/>
    <w:rsid w:val="00296F44"/>
    <w:rsid w:val="0029777D"/>
    <w:rsid w:val="00297794"/>
    <w:rsid w:val="002A055E"/>
    <w:rsid w:val="002A1D4E"/>
    <w:rsid w:val="002A2869"/>
    <w:rsid w:val="002A4F04"/>
    <w:rsid w:val="002B24D6"/>
    <w:rsid w:val="002C41E6"/>
    <w:rsid w:val="002D071A"/>
    <w:rsid w:val="002D34B2"/>
    <w:rsid w:val="002D7637"/>
    <w:rsid w:val="002E17F2"/>
    <w:rsid w:val="002E7CAE"/>
    <w:rsid w:val="002F2771"/>
    <w:rsid w:val="002F37A9"/>
    <w:rsid w:val="003002AB"/>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43A"/>
    <w:rsid w:val="00335858"/>
    <w:rsid w:val="00336BDA"/>
    <w:rsid w:val="00342BD7"/>
    <w:rsid w:val="00343A07"/>
    <w:rsid w:val="00344EF0"/>
    <w:rsid w:val="00346DB5"/>
    <w:rsid w:val="003477B1"/>
    <w:rsid w:val="0035491B"/>
    <w:rsid w:val="00357380"/>
    <w:rsid w:val="003602D9"/>
    <w:rsid w:val="003604CE"/>
    <w:rsid w:val="00361000"/>
    <w:rsid w:val="00362576"/>
    <w:rsid w:val="00370E47"/>
    <w:rsid w:val="003742AC"/>
    <w:rsid w:val="00377CE1"/>
    <w:rsid w:val="00385BF0"/>
    <w:rsid w:val="003904F8"/>
    <w:rsid w:val="003939FF"/>
    <w:rsid w:val="003A2223"/>
    <w:rsid w:val="003A2A0F"/>
    <w:rsid w:val="003A45A1"/>
    <w:rsid w:val="003A5B0A"/>
    <w:rsid w:val="003A6BAC"/>
    <w:rsid w:val="003A7200"/>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670F0"/>
    <w:rsid w:val="00470C31"/>
    <w:rsid w:val="004734D0"/>
    <w:rsid w:val="0047556B"/>
    <w:rsid w:val="00477768"/>
    <w:rsid w:val="00483533"/>
    <w:rsid w:val="00492BC5"/>
    <w:rsid w:val="004964F1"/>
    <w:rsid w:val="004A16BC"/>
    <w:rsid w:val="004A2B94"/>
    <w:rsid w:val="004B7C0C"/>
    <w:rsid w:val="004C2DB9"/>
    <w:rsid w:val="004C3898"/>
    <w:rsid w:val="004D30E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CBE"/>
    <w:rsid w:val="005219CF"/>
    <w:rsid w:val="005249FF"/>
    <w:rsid w:val="00534B59"/>
    <w:rsid w:val="00536759"/>
    <w:rsid w:val="00537C62"/>
    <w:rsid w:val="00546970"/>
    <w:rsid w:val="0054717F"/>
    <w:rsid w:val="00554E19"/>
    <w:rsid w:val="0056121F"/>
    <w:rsid w:val="00572505"/>
    <w:rsid w:val="00582809"/>
    <w:rsid w:val="0058798C"/>
    <w:rsid w:val="005900FA"/>
    <w:rsid w:val="005935A4"/>
    <w:rsid w:val="005948C2"/>
    <w:rsid w:val="00595DCA"/>
    <w:rsid w:val="0059779B"/>
    <w:rsid w:val="00597CD9"/>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7DA"/>
    <w:rsid w:val="00604F14"/>
    <w:rsid w:val="00607731"/>
    <w:rsid w:val="00611B83"/>
    <w:rsid w:val="00613257"/>
    <w:rsid w:val="00620A71"/>
    <w:rsid w:val="00620D80"/>
    <w:rsid w:val="00621686"/>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0A2"/>
    <w:rsid w:val="006A697B"/>
    <w:rsid w:val="006A7AFF"/>
    <w:rsid w:val="006B1816"/>
    <w:rsid w:val="006B2099"/>
    <w:rsid w:val="006B26E1"/>
    <w:rsid w:val="006B50CF"/>
    <w:rsid w:val="006C03B8"/>
    <w:rsid w:val="006C5EC9"/>
    <w:rsid w:val="006C6059"/>
    <w:rsid w:val="006C7522"/>
    <w:rsid w:val="006D3CA8"/>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ADE"/>
    <w:rsid w:val="00712287"/>
    <w:rsid w:val="00712772"/>
    <w:rsid w:val="007148D3"/>
    <w:rsid w:val="00715B9A"/>
    <w:rsid w:val="00726EA6"/>
    <w:rsid w:val="00727208"/>
    <w:rsid w:val="00727680"/>
    <w:rsid w:val="007348B1"/>
    <w:rsid w:val="007362A6"/>
    <w:rsid w:val="00736D7D"/>
    <w:rsid w:val="00740E58"/>
    <w:rsid w:val="007445A0"/>
    <w:rsid w:val="0074524B"/>
    <w:rsid w:val="00745AC2"/>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F90"/>
    <w:rsid w:val="007B3D2D"/>
    <w:rsid w:val="007B50AE"/>
    <w:rsid w:val="007B51DF"/>
    <w:rsid w:val="007C05DD"/>
    <w:rsid w:val="007C2D28"/>
    <w:rsid w:val="007C3D18"/>
    <w:rsid w:val="007C60BF"/>
    <w:rsid w:val="007C6A07"/>
    <w:rsid w:val="007C75A1"/>
    <w:rsid w:val="007C77A5"/>
    <w:rsid w:val="007D04E5"/>
    <w:rsid w:val="007D5901"/>
    <w:rsid w:val="007D7526"/>
    <w:rsid w:val="007E4610"/>
    <w:rsid w:val="007E4715"/>
    <w:rsid w:val="007E505B"/>
    <w:rsid w:val="007E52B3"/>
    <w:rsid w:val="007E7091"/>
    <w:rsid w:val="00803FAE"/>
    <w:rsid w:val="0080605F"/>
    <w:rsid w:val="00807786"/>
    <w:rsid w:val="00811FCB"/>
    <w:rsid w:val="00813FA1"/>
    <w:rsid w:val="008158D6"/>
    <w:rsid w:val="00817196"/>
    <w:rsid w:val="008235DB"/>
    <w:rsid w:val="0082473C"/>
    <w:rsid w:val="00824AB4"/>
    <w:rsid w:val="00825C42"/>
    <w:rsid w:val="00825D25"/>
    <w:rsid w:val="00827D6F"/>
    <w:rsid w:val="008376AC"/>
    <w:rsid w:val="008444E8"/>
    <w:rsid w:val="00844E80"/>
    <w:rsid w:val="00846FE7"/>
    <w:rsid w:val="00854F97"/>
    <w:rsid w:val="00856911"/>
    <w:rsid w:val="008674DF"/>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448"/>
    <w:rsid w:val="008B659F"/>
    <w:rsid w:val="008B7B5C"/>
    <w:rsid w:val="008B7E68"/>
    <w:rsid w:val="008C0C99"/>
    <w:rsid w:val="008C2017"/>
    <w:rsid w:val="008C4958"/>
    <w:rsid w:val="008C4BAA"/>
    <w:rsid w:val="008C6AE8"/>
    <w:rsid w:val="008C7573"/>
    <w:rsid w:val="008D34F1"/>
    <w:rsid w:val="008D39D8"/>
    <w:rsid w:val="008D6D1A"/>
    <w:rsid w:val="008E065E"/>
    <w:rsid w:val="008E0927"/>
    <w:rsid w:val="008E1909"/>
    <w:rsid w:val="008E7CFB"/>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D1"/>
    <w:rsid w:val="009960EC"/>
    <w:rsid w:val="009970DD"/>
    <w:rsid w:val="0099778F"/>
    <w:rsid w:val="009A0B94"/>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7F2"/>
    <w:rsid w:val="00A048A8"/>
    <w:rsid w:val="00A04F49"/>
    <w:rsid w:val="00A13E54"/>
    <w:rsid w:val="00A17F63"/>
    <w:rsid w:val="00A2052C"/>
    <w:rsid w:val="00A2193B"/>
    <w:rsid w:val="00A2351A"/>
    <w:rsid w:val="00A264A9"/>
    <w:rsid w:val="00A27785"/>
    <w:rsid w:val="00A27E1C"/>
    <w:rsid w:val="00A30187"/>
    <w:rsid w:val="00A3448A"/>
    <w:rsid w:val="00A36297"/>
    <w:rsid w:val="00A41E2B"/>
    <w:rsid w:val="00A45B74"/>
    <w:rsid w:val="00A52E1D"/>
    <w:rsid w:val="00A57C03"/>
    <w:rsid w:val="00A61499"/>
    <w:rsid w:val="00A62A77"/>
    <w:rsid w:val="00A63483"/>
    <w:rsid w:val="00A657D7"/>
    <w:rsid w:val="00A660AC"/>
    <w:rsid w:val="00A66F55"/>
    <w:rsid w:val="00A67E6C"/>
    <w:rsid w:val="00A71B99"/>
    <w:rsid w:val="00A739D0"/>
    <w:rsid w:val="00A761D4"/>
    <w:rsid w:val="00A77EC4"/>
    <w:rsid w:val="00A8058E"/>
    <w:rsid w:val="00A92879"/>
    <w:rsid w:val="00A9442A"/>
    <w:rsid w:val="00AA016F"/>
    <w:rsid w:val="00AA1ED6"/>
    <w:rsid w:val="00AA51D6"/>
    <w:rsid w:val="00AA6200"/>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33D4"/>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2A3"/>
    <w:rsid w:val="00B45A52"/>
    <w:rsid w:val="00B46175"/>
    <w:rsid w:val="00B5500F"/>
    <w:rsid w:val="00B6188F"/>
    <w:rsid w:val="00B664C7"/>
    <w:rsid w:val="00B739F6"/>
    <w:rsid w:val="00B75B1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3D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466"/>
    <w:rsid w:val="00C12107"/>
    <w:rsid w:val="00C14D4B"/>
    <w:rsid w:val="00C154BB"/>
    <w:rsid w:val="00C24345"/>
    <w:rsid w:val="00C279B5"/>
    <w:rsid w:val="00C27C45"/>
    <w:rsid w:val="00C3719D"/>
    <w:rsid w:val="00C54995"/>
    <w:rsid w:val="00C54D41"/>
    <w:rsid w:val="00C60783"/>
    <w:rsid w:val="00C64672"/>
    <w:rsid w:val="00C66B86"/>
    <w:rsid w:val="00C70697"/>
    <w:rsid w:val="00C72EF4"/>
    <w:rsid w:val="00C75D2F"/>
    <w:rsid w:val="00C767BE"/>
    <w:rsid w:val="00C76E3C"/>
    <w:rsid w:val="00C81568"/>
    <w:rsid w:val="00C9027A"/>
    <w:rsid w:val="00C9068E"/>
    <w:rsid w:val="00C93C4B"/>
    <w:rsid w:val="00C944AB"/>
    <w:rsid w:val="00C95B40"/>
    <w:rsid w:val="00CA1ED8"/>
    <w:rsid w:val="00CA76F4"/>
    <w:rsid w:val="00CB1F63"/>
    <w:rsid w:val="00CB7170"/>
    <w:rsid w:val="00CC040E"/>
    <w:rsid w:val="00CC111F"/>
    <w:rsid w:val="00CC1276"/>
    <w:rsid w:val="00CC2011"/>
    <w:rsid w:val="00CC3EA0"/>
    <w:rsid w:val="00CC7B45"/>
    <w:rsid w:val="00CD1188"/>
    <w:rsid w:val="00CD2ED1"/>
    <w:rsid w:val="00CD337B"/>
    <w:rsid w:val="00CE0424"/>
    <w:rsid w:val="00CE7561"/>
    <w:rsid w:val="00CE7FF2"/>
    <w:rsid w:val="00CF1354"/>
    <w:rsid w:val="00CF3B1F"/>
    <w:rsid w:val="00CF3BF6"/>
    <w:rsid w:val="00CF625B"/>
    <w:rsid w:val="00CF687E"/>
    <w:rsid w:val="00D0349B"/>
    <w:rsid w:val="00D10249"/>
    <w:rsid w:val="00D115C3"/>
    <w:rsid w:val="00D11897"/>
    <w:rsid w:val="00D13135"/>
    <w:rsid w:val="00D13172"/>
    <w:rsid w:val="00D13E4E"/>
    <w:rsid w:val="00D239A7"/>
    <w:rsid w:val="00D23F47"/>
    <w:rsid w:val="00D36E71"/>
    <w:rsid w:val="00D37D87"/>
    <w:rsid w:val="00D40B33"/>
    <w:rsid w:val="00D4318F"/>
    <w:rsid w:val="00D438BF"/>
    <w:rsid w:val="00D440F8"/>
    <w:rsid w:val="00D5066C"/>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5FC1"/>
    <w:rsid w:val="00DB0A9F"/>
    <w:rsid w:val="00DB377D"/>
    <w:rsid w:val="00DC2D16"/>
    <w:rsid w:val="00DC2D36"/>
    <w:rsid w:val="00DC43AA"/>
    <w:rsid w:val="00DC53EF"/>
    <w:rsid w:val="00DE5608"/>
    <w:rsid w:val="00DE58D0"/>
    <w:rsid w:val="00DE654F"/>
    <w:rsid w:val="00DF0B6E"/>
    <w:rsid w:val="00DF15E0"/>
    <w:rsid w:val="00DF37A0"/>
    <w:rsid w:val="00E03D7A"/>
    <w:rsid w:val="00E110E7"/>
    <w:rsid w:val="00E11B20"/>
    <w:rsid w:val="00E17FA2"/>
    <w:rsid w:val="00E22330"/>
    <w:rsid w:val="00E30B5A"/>
    <w:rsid w:val="00E3123D"/>
    <w:rsid w:val="00E31461"/>
    <w:rsid w:val="00E31D43"/>
    <w:rsid w:val="00E31F54"/>
    <w:rsid w:val="00E32608"/>
    <w:rsid w:val="00E34188"/>
    <w:rsid w:val="00E34B6E"/>
    <w:rsid w:val="00E35559"/>
    <w:rsid w:val="00E3723A"/>
    <w:rsid w:val="00E37860"/>
    <w:rsid w:val="00E446F1"/>
    <w:rsid w:val="00E46886"/>
    <w:rsid w:val="00E47AEF"/>
    <w:rsid w:val="00E5172A"/>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7B3"/>
    <w:rsid w:val="00EA7A41"/>
    <w:rsid w:val="00EB077B"/>
    <w:rsid w:val="00EB4EA2"/>
    <w:rsid w:val="00EC27C6"/>
    <w:rsid w:val="00EC4207"/>
    <w:rsid w:val="00EC5653"/>
    <w:rsid w:val="00EC71CE"/>
    <w:rsid w:val="00ED1006"/>
    <w:rsid w:val="00EE3F5E"/>
    <w:rsid w:val="00EE522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8F1"/>
    <w:rsid w:val="00F40F0C"/>
    <w:rsid w:val="00F4766C"/>
    <w:rsid w:val="00F507D1"/>
    <w:rsid w:val="00F519CE"/>
    <w:rsid w:val="00F51ADA"/>
    <w:rsid w:val="00F54874"/>
    <w:rsid w:val="00F607C5"/>
    <w:rsid w:val="00F60DEA"/>
    <w:rsid w:val="00F6302A"/>
    <w:rsid w:val="00F64C2B"/>
    <w:rsid w:val="00F651BE"/>
    <w:rsid w:val="00F67F53"/>
    <w:rsid w:val="00F703BE"/>
    <w:rsid w:val="00F71F69"/>
    <w:rsid w:val="00F72B72"/>
    <w:rsid w:val="00F74BB9"/>
    <w:rsid w:val="00F75582"/>
    <w:rsid w:val="00F76EFA"/>
    <w:rsid w:val="00F804BE"/>
    <w:rsid w:val="00F81797"/>
    <w:rsid w:val="00F817CE"/>
    <w:rsid w:val="00F8456C"/>
    <w:rsid w:val="00F859D8"/>
    <w:rsid w:val="00F868F5"/>
    <w:rsid w:val="00F9056A"/>
    <w:rsid w:val="00F90F8D"/>
    <w:rsid w:val="00F92782"/>
    <w:rsid w:val="00F93AA9"/>
    <w:rsid w:val="00F96985"/>
    <w:rsid w:val="00F97838"/>
    <w:rsid w:val="00FA2BB3"/>
    <w:rsid w:val="00FB1AD0"/>
    <w:rsid w:val="00FB4C80"/>
    <w:rsid w:val="00FB6A6A"/>
    <w:rsid w:val="00FB76B4"/>
    <w:rsid w:val="00FC41D1"/>
    <w:rsid w:val="00FC7429"/>
    <w:rsid w:val="00FD07F6"/>
    <w:rsid w:val="00FD1EC8"/>
    <w:rsid w:val="00FD47ED"/>
    <w:rsid w:val="00FD74DB"/>
    <w:rsid w:val="00FD7660"/>
    <w:rsid w:val="00FE0655"/>
    <w:rsid w:val="00FE1C42"/>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06BA93D"/>
  <w15:chartTrackingRefBased/>
  <w15:docId w15:val="{D67FFED9-35D0-47FC-A11C-FF8AAE80A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CA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D3C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D3CA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D3CA8"/>
    <w:pPr>
      <w:numPr>
        <w:ilvl w:val="2"/>
      </w:numPr>
      <w:spacing w:before="120"/>
      <w:outlineLvl w:val="2"/>
    </w:pPr>
    <w:rPr>
      <w:sz w:val="28"/>
      <w:szCs w:val="28"/>
    </w:rPr>
  </w:style>
  <w:style w:type="paragraph" w:styleId="Heading4">
    <w:name w:val="heading 4"/>
    <w:basedOn w:val="Heading3"/>
    <w:next w:val="Normal"/>
    <w:qFormat/>
    <w:rsid w:val="006D3CA8"/>
    <w:pPr>
      <w:numPr>
        <w:ilvl w:val="3"/>
      </w:numPr>
      <w:outlineLvl w:val="3"/>
    </w:pPr>
    <w:rPr>
      <w:sz w:val="24"/>
      <w:szCs w:val="24"/>
    </w:rPr>
  </w:style>
  <w:style w:type="paragraph" w:styleId="Heading5">
    <w:name w:val="heading 5"/>
    <w:basedOn w:val="Heading4"/>
    <w:next w:val="Normal"/>
    <w:qFormat/>
    <w:rsid w:val="006D3CA8"/>
    <w:pPr>
      <w:numPr>
        <w:ilvl w:val="4"/>
      </w:numPr>
      <w:outlineLvl w:val="4"/>
    </w:pPr>
    <w:rPr>
      <w:sz w:val="22"/>
      <w:szCs w:val="22"/>
    </w:rPr>
  </w:style>
  <w:style w:type="paragraph" w:styleId="Heading6">
    <w:name w:val="heading 6"/>
    <w:basedOn w:val="Normal"/>
    <w:next w:val="Normal"/>
    <w:qFormat/>
    <w:rsid w:val="006D3CA8"/>
    <w:pPr>
      <w:keepNext/>
      <w:keepLines/>
      <w:numPr>
        <w:ilvl w:val="5"/>
        <w:numId w:val="1"/>
      </w:numPr>
      <w:spacing w:before="120"/>
      <w:outlineLvl w:val="5"/>
    </w:pPr>
    <w:rPr>
      <w:rFonts w:cs="Arial"/>
    </w:rPr>
  </w:style>
  <w:style w:type="paragraph" w:styleId="Heading7">
    <w:name w:val="heading 7"/>
    <w:basedOn w:val="Normal"/>
    <w:next w:val="Normal"/>
    <w:qFormat/>
    <w:rsid w:val="006D3CA8"/>
    <w:pPr>
      <w:keepNext/>
      <w:keepLines/>
      <w:numPr>
        <w:ilvl w:val="6"/>
        <w:numId w:val="1"/>
      </w:numPr>
      <w:spacing w:before="120"/>
      <w:outlineLvl w:val="6"/>
    </w:pPr>
    <w:rPr>
      <w:rFonts w:cs="Arial"/>
    </w:rPr>
  </w:style>
  <w:style w:type="paragraph" w:styleId="Heading8">
    <w:name w:val="heading 8"/>
    <w:basedOn w:val="Heading7"/>
    <w:next w:val="Normal"/>
    <w:qFormat/>
    <w:rsid w:val="006D3CA8"/>
    <w:pPr>
      <w:numPr>
        <w:ilvl w:val="7"/>
      </w:numPr>
      <w:outlineLvl w:val="7"/>
    </w:pPr>
  </w:style>
  <w:style w:type="paragraph" w:styleId="Heading9">
    <w:name w:val="heading 9"/>
    <w:basedOn w:val="Heading8"/>
    <w:next w:val="Normal"/>
    <w:qFormat/>
    <w:rsid w:val="006D3C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D3CA8"/>
    <w:pPr>
      <w:spacing w:before="180"/>
      <w:ind w:left="2693" w:hanging="2693"/>
    </w:pPr>
    <w:rPr>
      <w:b w:val="0"/>
      <w:bCs/>
    </w:rPr>
  </w:style>
  <w:style w:type="paragraph" w:styleId="TOC1">
    <w:name w:val="toc 1"/>
    <w:aliases w:val="Observation TOC2"/>
    <w:uiPriority w:val="39"/>
    <w:rsid w:val="006D3CA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D3CA8"/>
    <w:pPr>
      <w:keepNext/>
      <w:keepLines/>
      <w:spacing w:before="180"/>
      <w:jc w:val="center"/>
    </w:pPr>
  </w:style>
  <w:style w:type="paragraph" w:styleId="Caption">
    <w:name w:val="caption"/>
    <w:basedOn w:val="Normal"/>
    <w:next w:val="Normal"/>
    <w:qFormat/>
    <w:rsid w:val="006D3CA8"/>
    <w:pPr>
      <w:spacing w:after="240"/>
      <w:jc w:val="center"/>
    </w:pPr>
    <w:rPr>
      <w:b/>
      <w:bCs/>
    </w:rPr>
  </w:style>
  <w:style w:type="paragraph" w:styleId="TOC5">
    <w:name w:val="toc 5"/>
    <w:aliases w:val="Observation TOC"/>
    <w:basedOn w:val="TOC4"/>
    <w:semiHidden/>
    <w:rsid w:val="006D3CA8"/>
    <w:pPr>
      <w:tabs>
        <w:tab w:val="right" w:pos="1701"/>
      </w:tabs>
      <w:ind w:left="1701" w:hanging="1701"/>
    </w:pPr>
  </w:style>
  <w:style w:type="paragraph" w:styleId="TOC4">
    <w:name w:val="toc 4"/>
    <w:basedOn w:val="TOC3"/>
    <w:semiHidden/>
    <w:rsid w:val="006D3CA8"/>
    <w:pPr>
      <w:ind w:left="1418" w:hanging="1418"/>
    </w:pPr>
  </w:style>
  <w:style w:type="paragraph" w:styleId="TOC3">
    <w:name w:val="toc 3"/>
    <w:basedOn w:val="TOC2"/>
    <w:semiHidden/>
    <w:rsid w:val="006D3CA8"/>
    <w:pPr>
      <w:ind w:left="1134" w:hanging="1134"/>
    </w:pPr>
  </w:style>
  <w:style w:type="paragraph" w:styleId="TOC2">
    <w:name w:val="toc 2"/>
    <w:basedOn w:val="TOC1"/>
    <w:semiHidden/>
    <w:rsid w:val="006D3CA8"/>
    <w:pPr>
      <w:keepNext w:val="0"/>
      <w:spacing w:before="0"/>
      <w:ind w:left="851" w:hanging="851"/>
    </w:pPr>
    <w:rPr>
      <w:szCs w:val="20"/>
    </w:rPr>
  </w:style>
  <w:style w:type="paragraph" w:styleId="Index2">
    <w:name w:val="index 2"/>
    <w:basedOn w:val="Index1"/>
    <w:semiHidden/>
    <w:rsid w:val="006D3CA8"/>
    <w:pPr>
      <w:ind w:left="284"/>
    </w:pPr>
  </w:style>
  <w:style w:type="paragraph" w:styleId="Index1">
    <w:name w:val="index 1"/>
    <w:basedOn w:val="Normal"/>
    <w:semiHidden/>
    <w:rsid w:val="006D3CA8"/>
    <w:pPr>
      <w:keepLines/>
      <w:spacing w:after="0"/>
    </w:pPr>
  </w:style>
  <w:style w:type="paragraph" w:styleId="DocumentMap">
    <w:name w:val="Document Map"/>
    <w:basedOn w:val="Normal"/>
    <w:semiHidden/>
    <w:rsid w:val="006D3CA8"/>
    <w:pPr>
      <w:shd w:val="clear" w:color="auto" w:fill="000080"/>
    </w:pPr>
    <w:rPr>
      <w:rFonts w:ascii="Tahoma" w:hAnsi="Tahoma" w:cs="Tahoma"/>
    </w:rPr>
  </w:style>
  <w:style w:type="paragraph" w:styleId="ListNumber2">
    <w:name w:val="List Number 2"/>
    <w:basedOn w:val="ListNumber"/>
    <w:rsid w:val="006D3CA8"/>
    <w:pPr>
      <w:ind w:left="851"/>
    </w:pPr>
  </w:style>
  <w:style w:type="paragraph" w:styleId="ListNumber">
    <w:name w:val="List Number"/>
    <w:basedOn w:val="List"/>
    <w:rsid w:val="006D3CA8"/>
  </w:style>
  <w:style w:type="paragraph" w:styleId="List">
    <w:name w:val="List"/>
    <w:basedOn w:val="Normal"/>
    <w:rsid w:val="006D3CA8"/>
    <w:pPr>
      <w:ind w:left="568" w:hanging="284"/>
    </w:pPr>
  </w:style>
  <w:style w:type="paragraph" w:styleId="Header">
    <w:name w:val="header"/>
    <w:rsid w:val="006D3C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D3CA8"/>
    <w:rPr>
      <w:b/>
      <w:bCs/>
      <w:position w:val="6"/>
      <w:sz w:val="16"/>
      <w:szCs w:val="16"/>
    </w:rPr>
  </w:style>
  <w:style w:type="paragraph" w:styleId="FootnoteText">
    <w:name w:val="footnote text"/>
    <w:basedOn w:val="Normal"/>
    <w:semiHidden/>
    <w:rsid w:val="006D3CA8"/>
    <w:pPr>
      <w:keepLines/>
      <w:spacing w:after="0"/>
      <w:ind w:left="454" w:hanging="454"/>
    </w:pPr>
    <w:rPr>
      <w:sz w:val="16"/>
      <w:szCs w:val="16"/>
    </w:rPr>
  </w:style>
  <w:style w:type="paragraph" w:customStyle="1" w:styleId="3GPPHeader">
    <w:name w:val="3GPP_Header"/>
    <w:basedOn w:val="Normal"/>
    <w:rsid w:val="006D3CA8"/>
    <w:pPr>
      <w:tabs>
        <w:tab w:val="left" w:pos="1701"/>
        <w:tab w:val="right" w:pos="9639"/>
      </w:tabs>
      <w:spacing w:after="240"/>
    </w:pPr>
    <w:rPr>
      <w:b/>
      <w:sz w:val="24"/>
    </w:rPr>
  </w:style>
  <w:style w:type="paragraph" w:styleId="TOC9">
    <w:name w:val="toc 9"/>
    <w:basedOn w:val="TOC8"/>
    <w:semiHidden/>
    <w:rsid w:val="006D3CA8"/>
    <w:pPr>
      <w:ind w:left="1418" w:hanging="1418"/>
    </w:pPr>
  </w:style>
  <w:style w:type="paragraph" w:styleId="TOC6">
    <w:name w:val="toc 6"/>
    <w:basedOn w:val="TOC5"/>
    <w:next w:val="Normal"/>
    <w:semiHidden/>
    <w:rsid w:val="006D3CA8"/>
    <w:pPr>
      <w:ind w:left="1985" w:hanging="1985"/>
    </w:pPr>
  </w:style>
  <w:style w:type="paragraph" w:styleId="TOC7">
    <w:name w:val="toc 7"/>
    <w:basedOn w:val="TOC6"/>
    <w:next w:val="Normal"/>
    <w:semiHidden/>
    <w:rsid w:val="006D3CA8"/>
    <w:pPr>
      <w:ind w:left="2268" w:hanging="2268"/>
    </w:pPr>
  </w:style>
  <w:style w:type="paragraph" w:styleId="ListBullet2">
    <w:name w:val="List Bullet 2"/>
    <w:basedOn w:val="ListBullet"/>
    <w:rsid w:val="006D3CA8"/>
    <w:pPr>
      <w:numPr>
        <w:numId w:val="6"/>
      </w:numPr>
    </w:pPr>
  </w:style>
  <w:style w:type="paragraph" w:styleId="ListBullet">
    <w:name w:val="List Bullet"/>
    <w:basedOn w:val="BodyText"/>
    <w:rsid w:val="006D3CA8"/>
    <w:pPr>
      <w:numPr>
        <w:numId w:val="5"/>
      </w:numPr>
    </w:pPr>
  </w:style>
  <w:style w:type="paragraph" w:styleId="ListBullet3">
    <w:name w:val="List Bullet 3"/>
    <w:basedOn w:val="ListBullet2"/>
    <w:rsid w:val="006D3CA8"/>
    <w:pPr>
      <w:numPr>
        <w:numId w:val="7"/>
      </w:numPr>
    </w:pPr>
  </w:style>
  <w:style w:type="paragraph" w:customStyle="1" w:styleId="EQ">
    <w:name w:val="EQ"/>
    <w:basedOn w:val="Normal"/>
    <w:next w:val="Normal"/>
    <w:rsid w:val="006D3CA8"/>
    <w:pPr>
      <w:keepLines/>
      <w:tabs>
        <w:tab w:val="center" w:pos="4536"/>
        <w:tab w:val="right" w:pos="9072"/>
      </w:tabs>
      <w:spacing w:after="180"/>
      <w:jc w:val="left"/>
    </w:pPr>
    <w:rPr>
      <w:noProof/>
      <w:lang w:eastAsia="en-US"/>
    </w:rPr>
  </w:style>
  <w:style w:type="paragraph" w:styleId="List2">
    <w:name w:val="List 2"/>
    <w:basedOn w:val="List"/>
    <w:rsid w:val="006D3CA8"/>
    <w:pPr>
      <w:ind w:left="851"/>
    </w:pPr>
  </w:style>
  <w:style w:type="paragraph" w:styleId="List3">
    <w:name w:val="List 3"/>
    <w:basedOn w:val="List2"/>
    <w:rsid w:val="006D3CA8"/>
    <w:pPr>
      <w:ind w:left="1135"/>
    </w:pPr>
  </w:style>
  <w:style w:type="paragraph" w:styleId="List4">
    <w:name w:val="List 4"/>
    <w:basedOn w:val="List3"/>
    <w:rsid w:val="006D3CA8"/>
    <w:pPr>
      <w:ind w:left="1418"/>
    </w:pPr>
  </w:style>
  <w:style w:type="paragraph" w:styleId="List5">
    <w:name w:val="List 5"/>
    <w:basedOn w:val="List4"/>
    <w:rsid w:val="006D3CA8"/>
    <w:pPr>
      <w:ind w:left="1702"/>
    </w:pPr>
  </w:style>
  <w:style w:type="paragraph" w:customStyle="1" w:styleId="EditorsNote">
    <w:name w:val="Editor's Note"/>
    <w:basedOn w:val="Normal"/>
    <w:rsid w:val="006D3CA8"/>
    <w:pPr>
      <w:keepLines/>
      <w:spacing w:after="180"/>
      <w:ind w:left="1135" w:hanging="851"/>
      <w:jc w:val="left"/>
    </w:pPr>
    <w:rPr>
      <w:color w:val="FF0000"/>
      <w:lang w:eastAsia="en-US"/>
    </w:rPr>
  </w:style>
  <w:style w:type="paragraph" w:styleId="ListBullet4">
    <w:name w:val="List Bullet 4"/>
    <w:basedOn w:val="ListBullet3"/>
    <w:rsid w:val="006D3CA8"/>
    <w:pPr>
      <w:numPr>
        <w:numId w:val="8"/>
      </w:numPr>
    </w:pPr>
  </w:style>
  <w:style w:type="paragraph" w:styleId="ListBullet5">
    <w:name w:val="List Bullet 5"/>
    <w:basedOn w:val="ListBullet4"/>
    <w:rsid w:val="006D3CA8"/>
    <w:pPr>
      <w:numPr>
        <w:numId w:val="4"/>
      </w:numPr>
    </w:pPr>
  </w:style>
  <w:style w:type="paragraph" w:styleId="Footer">
    <w:name w:val="footer"/>
    <w:basedOn w:val="Header"/>
    <w:semiHidden/>
    <w:rsid w:val="006D3CA8"/>
    <w:pPr>
      <w:jc w:val="center"/>
    </w:pPr>
    <w:rPr>
      <w:i/>
      <w:iCs/>
    </w:rPr>
  </w:style>
  <w:style w:type="paragraph" w:customStyle="1" w:styleId="Reference">
    <w:name w:val="Reference"/>
    <w:basedOn w:val="Normal"/>
    <w:rsid w:val="006D3CA8"/>
    <w:pPr>
      <w:numPr>
        <w:numId w:val="2"/>
      </w:numPr>
    </w:pPr>
  </w:style>
  <w:style w:type="paragraph" w:styleId="BalloonText">
    <w:name w:val="Balloon Text"/>
    <w:basedOn w:val="Normal"/>
    <w:semiHidden/>
    <w:rsid w:val="006D3CA8"/>
    <w:rPr>
      <w:rFonts w:ascii="Tahoma" w:hAnsi="Tahoma" w:cs="Tahoma"/>
      <w:sz w:val="16"/>
      <w:szCs w:val="16"/>
    </w:rPr>
  </w:style>
  <w:style w:type="character" w:styleId="PageNumber">
    <w:name w:val="page number"/>
    <w:basedOn w:val="DefaultParagraphFont"/>
    <w:semiHidden/>
    <w:rsid w:val="006D3CA8"/>
  </w:style>
  <w:style w:type="paragraph" w:styleId="BodyText">
    <w:name w:val="Body Text"/>
    <w:basedOn w:val="Normal"/>
    <w:link w:val="BodyTextChar"/>
    <w:rsid w:val="006D3CA8"/>
  </w:style>
  <w:style w:type="character" w:styleId="Hyperlink">
    <w:name w:val="Hyperlink"/>
    <w:uiPriority w:val="99"/>
    <w:rsid w:val="006D3CA8"/>
    <w:rPr>
      <w:color w:val="0000FF"/>
      <w:u w:val="single"/>
      <w:lang w:val="en-GB"/>
    </w:rPr>
  </w:style>
  <w:style w:type="character" w:styleId="FollowedHyperlink">
    <w:name w:val="FollowedHyperlink"/>
    <w:semiHidden/>
    <w:rsid w:val="006D3CA8"/>
    <w:rPr>
      <w:color w:val="FF0000"/>
      <w:u w:val="single"/>
    </w:rPr>
  </w:style>
  <w:style w:type="character" w:styleId="CommentReference">
    <w:name w:val="annotation reference"/>
    <w:semiHidden/>
    <w:rsid w:val="006D3CA8"/>
    <w:rPr>
      <w:sz w:val="16"/>
      <w:szCs w:val="16"/>
    </w:rPr>
  </w:style>
  <w:style w:type="paragraph" w:styleId="CommentText">
    <w:name w:val="annotation text"/>
    <w:basedOn w:val="Normal"/>
    <w:semiHidden/>
    <w:rsid w:val="006D3CA8"/>
  </w:style>
  <w:style w:type="paragraph" w:styleId="CommentSubject">
    <w:name w:val="annotation subject"/>
    <w:basedOn w:val="CommentText"/>
    <w:next w:val="CommentText"/>
    <w:semiHidden/>
    <w:rsid w:val="006D3CA8"/>
    <w:rPr>
      <w:b/>
      <w:bCs/>
    </w:rPr>
  </w:style>
  <w:style w:type="character" w:customStyle="1" w:styleId="Heading1Char">
    <w:name w:val="Heading 1 Char"/>
    <w:link w:val="Heading1"/>
    <w:rsid w:val="006D3CA8"/>
    <w:rPr>
      <w:rFonts w:ascii="Arial" w:hAnsi="Arial" w:cs="Arial"/>
      <w:sz w:val="36"/>
      <w:szCs w:val="36"/>
      <w:lang w:val="en-GB" w:eastAsia="zh-CN"/>
    </w:rPr>
  </w:style>
  <w:style w:type="paragraph" w:customStyle="1" w:styleId="B1">
    <w:name w:val="B1"/>
    <w:basedOn w:val="List"/>
    <w:link w:val="B1Char"/>
    <w:rsid w:val="006D3CA8"/>
    <w:pPr>
      <w:spacing w:after="180"/>
      <w:jc w:val="left"/>
    </w:pPr>
    <w:rPr>
      <w:lang w:eastAsia="en-US"/>
    </w:rPr>
  </w:style>
  <w:style w:type="paragraph" w:customStyle="1" w:styleId="B2">
    <w:name w:val="B2"/>
    <w:basedOn w:val="List2"/>
    <w:rsid w:val="006D3CA8"/>
    <w:pPr>
      <w:spacing w:after="180"/>
      <w:jc w:val="left"/>
    </w:pPr>
    <w:rPr>
      <w:lang w:eastAsia="en-US"/>
    </w:rPr>
  </w:style>
  <w:style w:type="paragraph" w:customStyle="1" w:styleId="B3">
    <w:name w:val="B3"/>
    <w:basedOn w:val="List3"/>
    <w:rsid w:val="006D3CA8"/>
    <w:pPr>
      <w:spacing w:after="180"/>
      <w:jc w:val="left"/>
    </w:pPr>
    <w:rPr>
      <w:lang w:eastAsia="en-US"/>
    </w:rPr>
  </w:style>
  <w:style w:type="paragraph" w:customStyle="1" w:styleId="B4">
    <w:name w:val="B4"/>
    <w:basedOn w:val="List4"/>
    <w:rsid w:val="006D3CA8"/>
    <w:pPr>
      <w:spacing w:after="180"/>
      <w:jc w:val="left"/>
    </w:pPr>
    <w:rPr>
      <w:lang w:eastAsia="en-US"/>
    </w:rPr>
  </w:style>
  <w:style w:type="paragraph" w:customStyle="1" w:styleId="Proposal">
    <w:name w:val="Proposal"/>
    <w:basedOn w:val="Normal"/>
    <w:rsid w:val="006D3CA8"/>
    <w:pPr>
      <w:numPr>
        <w:numId w:val="3"/>
      </w:numPr>
      <w:tabs>
        <w:tab w:val="left" w:pos="1701"/>
      </w:tabs>
    </w:pPr>
    <w:rPr>
      <w:b/>
      <w:bCs/>
    </w:rPr>
  </w:style>
  <w:style w:type="character" w:customStyle="1" w:styleId="BodyTextChar">
    <w:name w:val="Body Text Char"/>
    <w:link w:val="BodyText"/>
    <w:rsid w:val="006D3CA8"/>
    <w:rPr>
      <w:rFonts w:ascii="Arial" w:hAnsi="Arial"/>
      <w:lang w:val="en-GB" w:eastAsia="zh-CN"/>
    </w:rPr>
  </w:style>
  <w:style w:type="paragraph" w:customStyle="1" w:styleId="B5">
    <w:name w:val="B5"/>
    <w:basedOn w:val="List5"/>
    <w:rsid w:val="006D3CA8"/>
    <w:pPr>
      <w:spacing w:after="180"/>
      <w:jc w:val="left"/>
    </w:pPr>
    <w:rPr>
      <w:lang w:eastAsia="en-US"/>
    </w:rPr>
  </w:style>
  <w:style w:type="paragraph" w:customStyle="1" w:styleId="EX">
    <w:name w:val="EX"/>
    <w:basedOn w:val="Normal"/>
    <w:rsid w:val="006D3CA8"/>
    <w:pPr>
      <w:keepLines/>
      <w:spacing w:after="180"/>
      <w:ind w:left="1702" w:hanging="1418"/>
      <w:jc w:val="left"/>
    </w:pPr>
    <w:rPr>
      <w:lang w:eastAsia="en-US"/>
    </w:rPr>
  </w:style>
  <w:style w:type="paragraph" w:customStyle="1" w:styleId="EW">
    <w:name w:val="EW"/>
    <w:basedOn w:val="EX"/>
    <w:rsid w:val="006D3CA8"/>
    <w:pPr>
      <w:spacing w:after="0"/>
    </w:pPr>
  </w:style>
  <w:style w:type="paragraph" w:customStyle="1" w:styleId="TAL">
    <w:name w:val="TAL"/>
    <w:basedOn w:val="Normal"/>
    <w:rsid w:val="006D3CA8"/>
    <w:pPr>
      <w:keepNext/>
      <w:keepLines/>
      <w:spacing w:after="0"/>
      <w:jc w:val="left"/>
    </w:pPr>
    <w:rPr>
      <w:sz w:val="18"/>
      <w:lang w:eastAsia="en-US"/>
    </w:rPr>
  </w:style>
  <w:style w:type="paragraph" w:customStyle="1" w:styleId="TAC">
    <w:name w:val="TAC"/>
    <w:basedOn w:val="TAL"/>
    <w:rsid w:val="006D3CA8"/>
    <w:pPr>
      <w:jc w:val="center"/>
    </w:pPr>
  </w:style>
  <w:style w:type="paragraph" w:customStyle="1" w:styleId="TAH">
    <w:name w:val="TAH"/>
    <w:basedOn w:val="TAC"/>
    <w:rsid w:val="006D3CA8"/>
    <w:rPr>
      <w:b/>
    </w:rPr>
  </w:style>
  <w:style w:type="paragraph" w:customStyle="1" w:styleId="TAN">
    <w:name w:val="TAN"/>
    <w:basedOn w:val="TAL"/>
    <w:rsid w:val="006D3CA8"/>
    <w:pPr>
      <w:ind w:left="851" w:hanging="851"/>
    </w:pPr>
  </w:style>
  <w:style w:type="paragraph" w:customStyle="1" w:styleId="TAR">
    <w:name w:val="TAR"/>
    <w:basedOn w:val="TAL"/>
    <w:rsid w:val="006D3CA8"/>
    <w:pPr>
      <w:jc w:val="right"/>
    </w:pPr>
  </w:style>
  <w:style w:type="paragraph" w:customStyle="1" w:styleId="TH">
    <w:name w:val="TH"/>
    <w:basedOn w:val="Normal"/>
    <w:rsid w:val="006D3CA8"/>
    <w:pPr>
      <w:keepNext/>
      <w:keepLines/>
      <w:spacing w:before="60" w:after="180"/>
      <w:jc w:val="center"/>
    </w:pPr>
    <w:rPr>
      <w:b/>
      <w:lang w:eastAsia="en-US"/>
    </w:rPr>
  </w:style>
  <w:style w:type="paragraph" w:customStyle="1" w:styleId="TF">
    <w:name w:val="TF"/>
    <w:basedOn w:val="TH"/>
    <w:rsid w:val="006D3CA8"/>
    <w:pPr>
      <w:keepNext w:val="0"/>
      <w:spacing w:before="0" w:after="240"/>
    </w:pPr>
  </w:style>
  <w:style w:type="paragraph" w:customStyle="1" w:styleId="TT">
    <w:name w:val="TT"/>
    <w:basedOn w:val="Heading1"/>
    <w:next w:val="Normal"/>
    <w:rsid w:val="006D3CA8"/>
    <w:pPr>
      <w:numPr>
        <w:numId w:val="0"/>
      </w:numPr>
      <w:ind w:left="1134" w:hanging="1134"/>
      <w:outlineLvl w:val="9"/>
    </w:pPr>
    <w:rPr>
      <w:rFonts w:cs="Times New Roman"/>
      <w:szCs w:val="20"/>
      <w:lang w:eastAsia="en-US"/>
    </w:rPr>
  </w:style>
  <w:style w:type="paragraph" w:customStyle="1" w:styleId="ZA">
    <w:name w:val="ZA"/>
    <w:rsid w:val="006D3C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3C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3C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D3C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D3CA8"/>
  </w:style>
  <w:style w:type="paragraph" w:customStyle="1" w:styleId="ZH">
    <w:name w:val="ZH"/>
    <w:rsid w:val="006D3C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D3C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D3CA8"/>
    <w:pPr>
      <w:framePr w:hRule="auto" w:wrap="notBeside" w:y="852"/>
    </w:pPr>
    <w:rPr>
      <w:i w:val="0"/>
      <w:sz w:val="40"/>
    </w:rPr>
  </w:style>
  <w:style w:type="paragraph" w:customStyle="1" w:styleId="ZU">
    <w:name w:val="ZU"/>
    <w:rsid w:val="006D3C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3CA8"/>
    <w:pPr>
      <w:framePr w:wrap="notBeside" w:y="16161"/>
    </w:pPr>
  </w:style>
  <w:style w:type="paragraph" w:customStyle="1" w:styleId="FP">
    <w:name w:val="FP"/>
    <w:basedOn w:val="Normal"/>
    <w:rsid w:val="006D3CA8"/>
    <w:pPr>
      <w:spacing w:after="0"/>
      <w:jc w:val="left"/>
    </w:pPr>
    <w:rPr>
      <w:lang w:eastAsia="en-US"/>
    </w:rPr>
  </w:style>
  <w:style w:type="paragraph" w:customStyle="1" w:styleId="Observation">
    <w:name w:val="Observation"/>
    <w:basedOn w:val="Proposal"/>
    <w:qFormat/>
    <w:rsid w:val="006D3CA8"/>
    <w:pPr>
      <w:numPr>
        <w:numId w:val="13"/>
      </w:numPr>
    </w:pPr>
  </w:style>
  <w:style w:type="paragraph" w:styleId="TableofFigures">
    <w:name w:val="table of figures"/>
    <w:basedOn w:val="Normal"/>
    <w:next w:val="Normal"/>
    <w:uiPriority w:val="99"/>
    <w:rsid w:val="006D3CA8"/>
    <w:pPr>
      <w:ind w:left="1418" w:hanging="1418"/>
      <w:jc w:val="left"/>
    </w:pPr>
    <w:rPr>
      <w:b/>
    </w:rPr>
  </w:style>
  <w:style w:type="paragraph" w:customStyle="1" w:styleId="Doc-text2">
    <w:name w:val="Doc-text2"/>
    <w:basedOn w:val="Normal"/>
    <w:link w:val="Doc-text2Char"/>
    <w:qFormat/>
    <w:rsid w:val="006D3CA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D3CA8"/>
    <w:rPr>
      <w:rFonts w:ascii="Arial" w:eastAsia="MS Mincho" w:hAnsi="Arial"/>
      <w:szCs w:val="24"/>
      <w:lang w:val="en-GB" w:eastAsia="en-GB"/>
    </w:rPr>
  </w:style>
  <w:style w:type="paragraph" w:customStyle="1" w:styleId="Guidance">
    <w:name w:val="Guidance"/>
    <w:basedOn w:val="Normal"/>
    <w:rsid w:val="00B75B18"/>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1Char">
    <w:name w:val="B1 Char"/>
    <w:link w:val="B1"/>
    <w:rsid w:val="00B75B18"/>
    <w:rPr>
      <w:rFonts w:ascii="Arial" w:hAnsi="Arial"/>
      <w:lang w:val="en-GB"/>
    </w:rPr>
  </w:style>
  <w:style w:type="paragraph" w:styleId="Revision">
    <w:name w:val="Revision"/>
    <w:hidden/>
    <w:uiPriority w:val="99"/>
    <w:semiHidden/>
    <w:rsid w:val="00B75B1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80010">
      <w:bodyDiv w:val="1"/>
      <w:marLeft w:val="0"/>
      <w:marRight w:val="0"/>
      <w:marTop w:val="0"/>
      <w:marBottom w:val="0"/>
      <w:divBdr>
        <w:top w:val="none" w:sz="0" w:space="0" w:color="auto"/>
        <w:left w:val="none" w:sz="0" w:space="0" w:color="auto"/>
        <w:bottom w:val="none" w:sz="0" w:space="0" w:color="auto"/>
        <w:right w:val="none" w:sz="0" w:space="0" w:color="auto"/>
      </w:divBdr>
    </w:div>
    <w:div w:id="3714606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67497870">
      <w:bodyDiv w:val="1"/>
      <w:marLeft w:val="0"/>
      <w:marRight w:val="0"/>
      <w:marTop w:val="0"/>
      <w:marBottom w:val="0"/>
      <w:divBdr>
        <w:top w:val="none" w:sz="0" w:space="0" w:color="auto"/>
        <w:left w:val="none" w:sz="0" w:space="0" w:color="auto"/>
        <w:bottom w:val="none" w:sz="0" w:space="0" w:color="auto"/>
        <w:right w:val="none" w:sz="0" w:space="0" w:color="auto"/>
      </w:divBdr>
    </w:div>
    <w:div w:id="19431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jinh\Desktop\work-folder\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5NUHHDQN7SK2-1-184877</_dlc_DocId>
    <_dlc_DocIdUrl xmlns="08b2df90-05d3-4030-90d4-c9feeb4a1cd9">
      <Url>https://ericoll.internal.ericsson.com/sites/star/_layouts/DocIdRedir.aspx?ID=5NUHHDQN7SK2-1-184877</Url>
      <Description>5NUHHDQN7SK2-1-184877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BDA1055F-A44F-40AC-99DA-C9F66164DD3F}"/>
</file>

<file path=docProps/app.xml><?xml version="1.0" encoding="utf-8"?>
<Properties xmlns="http://schemas.openxmlformats.org/officeDocument/2006/extended-properties" xmlns:vt="http://schemas.openxmlformats.org/officeDocument/2006/docPropsVTypes">
  <Template>R2-17xxxxx - Contribution Template.dotx</Template>
  <TotalTime>128</TotalTime>
  <Pages>4</Pages>
  <Words>1030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Liu Jinhua</dc:creator>
  <cp:keywords>Ericsson; TDoc; 3GPP</cp:keywords>
  <cp:lastModifiedBy>Ericsson</cp:lastModifiedBy>
  <cp:revision>27</cp:revision>
  <cp:lastPrinted>2008-01-31T16:09:00Z</cp:lastPrinted>
  <dcterms:created xsi:type="dcterms:W3CDTF">2017-10-26T00:55:00Z</dcterms:created>
  <dcterms:modified xsi:type="dcterms:W3CDTF">2017-11-16T20:56:00Z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15cace06-10d8-4efe-8ab3-71f983255fe3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